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C84A9E">
      <w:pPr>
        <w:jc w:val="center"/>
        <w:rPr>
          <w:rFonts w:ascii="宋体"/>
          <w:b/>
          <w:sz w:val="32"/>
          <w:szCs w:val="32"/>
        </w:rPr>
      </w:pPr>
    </w:p>
    <w:p w14:paraId="595EA27D">
      <w:pPr>
        <w:jc w:val="center"/>
        <w:rPr>
          <w:rFonts w:ascii="宋体"/>
          <w:b/>
          <w:sz w:val="32"/>
          <w:szCs w:val="32"/>
        </w:rPr>
      </w:pPr>
    </w:p>
    <w:p w14:paraId="1DEB6B55">
      <w:pPr>
        <w:jc w:val="center"/>
        <w:rPr>
          <w:rFonts w:ascii="宋体"/>
          <w:b/>
          <w:sz w:val="32"/>
          <w:szCs w:val="32"/>
        </w:rPr>
      </w:pPr>
    </w:p>
    <w:p w14:paraId="75B36495">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山西省地方标准</w:t>
      </w:r>
    </w:p>
    <w:p w14:paraId="17EC9660">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《冷凉区菜豆播种保苗技术规程》</w:t>
      </w:r>
    </w:p>
    <w:p w14:paraId="55449DC2">
      <w:pPr>
        <w:spacing w:line="360" w:lineRule="auto"/>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编制说明</w:t>
      </w:r>
    </w:p>
    <w:p w14:paraId="5CD99D5C">
      <w:pPr>
        <w:ind w:firstLine="643" w:firstLineChars="200"/>
        <w:rPr>
          <w:rFonts w:ascii="仿宋" w:hAnsi="仿宋" w:eastAsia="仿宋"/>
          <w:b/>
          <w:sz w:val="32"/>
          <w:szCs w:val="32"/>
        </w:rPr>
      </w:pPr>
    </w:p>
    <w:p w14:paraId="3C385186">
      <w:pPr>
        <w:ind w:firstLine="643" w:firstLineChars="200"/>
        <w:rPr>
          <w:rFonts w:ascii="仿宋" w:hAnsi="仿宋" w:eastAsia="仿宋"/>
          <w:b/>
          <w:sz w:val="32"/>
          <w:szCs w:val="32"/>
        </w:rPr>
      </w:pPr>
    </w:p>
    <w:p w14:paraId="630ECA76">
      <w:pPr>
        <w:ind w:firstLine="643" w:firstLineChars="200"/>
        <w:rPr>
          <w:rFonts w:ascii="仿宋" w:hAnsi="仿宋" w:eastAsia="仿宋"/>
          <w:b/>
          <w:sz w:val="32"/>
          <w:szCs w:val="32"/>
        </w:rPr>
      </w:pPr>
    </w:p>
    <w:p w14:paraId="304714D0">
      <w:pPr>
        <w:ind w:firstLine="643" w:firstLineChars="200"/>
        <w:rPr>
          <w:rFonts w:ascii="仿宋" w:hAnsi="仿宋" w:eastAsia="仿宋"/>
          <w:b/>
          <w:sz w:val="32"/>
          <w:szCs w:val="32"/>
        </w:rPr>
      </w:pPr>
    </w:p>
    <w:p w14:paraId="0336271E">
      <w:pPr>
        <w:ind w:firstLine="643" w:firstLineChars="200"/>
        <w:rPr>
          <w:rFonts w:ascii="仿宋" w:hAnsi="仿宋" w:eastAsia="仿宋"/>
          <w:b/>
          <w:sz w:val="32"/>
          <w:szCs w:val="32"/>
        </w:rPr>
      </w:pPr>
    </w:p>
    <w:p w14:paraId="6058393F">
      <w:pPr>
        <w:ind w:firstLine="643" w:firstLineChars="200"/>
        <w:rPr>
          <w:rFonts w:ascii="仿宋" w:hAnsi="仿宋" w:eastAsia="仿宋"/>
          <w:b/>
          <w:sz w:val="32"/>
          <w:szCs w:val="32"/>
        </w:rPr>
      </w:pPr>
    </w:p>
    <w:p w14:paraId="0846D71F">
      <w:pPr>
        <w:ind w:firstLine="643" w:firstLineChars="200"/>
        <w:rPr>
          <w:rFonts w:ascii="仿宋" w:hAnsi="仿宋" w:eastAsia="仿宋"/>
          <w:b/>
          <w:sz w:val="32"/>
          <w:szCs w:val="32"/>
        </w:rPr>
      </w:pPr>
    </w:p>
    <w:p w14:paraId="04C0F339">
      <w:pPr>
        <w:ind w:firstLine="643" w:firstLineChars="200"/>
        <w:jc w:val="center"/>
        <w:rPr>
          <w:rFonts w:ascii="仿宋" w:hAnsi="仿宋" w:eastAsia="仿宋"/>
          <w:b/>
          <w:sz w:val="32"/>
          <w:szCs w:val="32"/>
        </w:rPr>
      </w:pPr>
    </w:p>
    <w:p w14:paraId="73C6124C">
      <w:pPr>
        <w:ind w:firstLine="643" w:firstLineChars="200"/>
        <w:jc w:val="center"/>
        <w:rPr>
          <w:rFonts w:ascii="宋体"/>
          <w:b/>
          <w:sz w:val="32"/>
          <w:szCs w:val="32"/>
        </w:rPr>
      </w:pPr>
    </w:p>
    <w:p w14:paraId="24C5F5D0">
      <w:pPr>
        <w:ind w:firstLine="643" w:firstLineChars="200"/>
        <w:jc w:val="center"/>
        <w:rPr>
          <w:rFonts w:ascii="宋体"/>
          <w:b/>
          <w:sz w:val="32"/>
          <w:szCs w:val="32"/>
        </w:rPr>
      </w:pPr>
    </w:p>
    <w:p w14:paraId="60E5C795">
      <w:pPr>
        <w:ind w:firstLine="643" w:firstLineChars="200"/>
        <w:jc w:val="center"/>
        <w:rPr>
          <w:rFonts w:ascii="宋体"/>
          <w:b/>
          <w:sz w:val="32"/>
          <w:szCs w:val="32"/>
        </w:rPr>
      </w:pPr>
    </w:p>
    <w:p w14:paraId="137224E3">
      <w:pPr>
        <w:spacing w:line="360" w:lineRule="auto"/>
        <w:jc w:val="center"/>
        <w:rPr>
          <w:rFonts w:ascii="宋体" w:hAnsi="宋体"/>
          <w:b/>
          <w:kern w:val="22"/>
          <w:sz w:val="10"/>
          <w:szCs w:val="10"/>
        </w:rPr>
      </w:pPr>
      <w:r>
        <w:rPr>
          <w:rFonts w:hint="eastAsia" w:ascii="宋体" w:hAnsi="宋体"/>
          <w:b/>
          <w:kern w:val="22"/>
          <w:sz w:val="32"/>
          <w:szCs w:val="32"/>
        </w:rPr>
        <w:t>编制单位：山西农业大学</w:t>
      </w:r>
    </w:p>
    <w:p w14:paraId="07D49000">
      <w:pPr>
        <w:jc w:val="center"/>
        <w:rPr>
          <w:rFonts w:ascii="宋体" w:hAnsi="宋体"/>
          <w:b/>
          <w:sz w:val="32"/>
          <w:szCs w:val="32"/>
        </w:rPr>
      </w:pPr>
      <w:r>
        <w:rPr>
          <w:rFonts w:hint="eastAsia" w:ascii="宋体" w:hAnsi="宋体"/>
          <w:b/>
          <w:sz w:val="32"/>
          <w:szCs w:val="32"/>
        </w:rPr>
        <w:t xml:space="preserve"> 二〇二四年十月</w:t>
      </w:r>
    </w:p>
    <w:p w14:paraId="6649EAF2">
      <w:pPr>
        <w:jc w:val="center"/>
        <w:rPr>
          <w:rFonts w:ascii="宋体" w:hAnsi="宋体"/>
          <w:b/>
          <w:sz w:val="32"/>
          <w:szCs w:val="32"/>
        </w:rPr>
      </w:pPr>
    </w:p>
    <w:p w14:paraId="5D04CCFA">
      <w:pPr>
        <w:jc w:val="center"/>
        <w:rPr>
          <w:rFonts w:ascii="宋体" w:hAnsi="宋体"/>
          <w:b/>
          <w:sz w:val="32"/>
          <w:szCs w:val="32"/>
        </w:rPr>
      </w:pPr>
    </w:p>
    <w:p w14:paraId="0DCFE759">
      <w:pPr>
        <w:jc w:val="center"/>
        <w:rPr>
          <w:rFonts w:ascii="宋体" w:hAnsi="宋体"/>
          <w:b/>
          <w:sz w:val="32"/>
          <w:szCs w:val="32"/>
        </w:rPr>
      </w:pPr>
    </w:p>
    <w:p w14:paraId="252473B5">
      <w:pPr>
        <w:spacing w:line="520" w:lineRule="exact"/>
        <w:jc w:val="center"/>
        <w:rPr>
          <w:rFonts w:ascii="宋体"/>
          <w:b/>
          <w:sz w:val="30"/>
          <w:szCs w:val="30"/>
        </w:rPr>
      </w:pPr>
      <w:r>
        <w:rPr>
          <w:rFonts w:hint="eastAsia" w:ascii="宋体" w:hAnsi="宋体"/>
          <w:b/>
          <w:sz w:val="30"/>
          <w:szCs w:val="30"/>
        </w:rPr>
        <w:t>山西省地方标准</w:t>
      </w:r>
    </w:p>
    <w:p w14:paraId="39C1FF85">
      <w:pPr>
        <w:spacing w:line="520" w:lineRule="exact"/>
        <w:jc w:val="center"/>
        <w:rPr>
          <w:rFonts w:ascii="宋体"/>
          <w:b/>
          <w:sz w:val="30"/>
          <w:szCs w:val="30"/>
        </w:rPr>
      </w:pPr>
      <w:r>
        <w:rPr>
          <w:rFonts w:hint="eastAsia" w:ascii="宋体" w:hAnsi="宋体"/>
          <w:b/>
          <w:sz w:val="30"/>
          <w:szCs w:val="30"/>
        </w:rPr>
        <w:t>《冷凉区菜豆播种保苗技术规程》</w:t>
      </w:r>
    </w:p>
    <w:p w14:paraId="4191E44B">
      <w:pPr>
        <w:spacing w:line="520" w:lineRule="exact"/>
        <w:jc w:val="center"/>
        <w:rPr>
          <w:rFonts w:ascii="宋体" w:hAnsi="宋体"/>
          <w:b/>
          <w:sz w:val="30"/>
          <w:szCs w:val="30"/>
        </w:rPr>
      </w:pPr>
      <w:r>
        <w:rPr>
          <w:rFonts w:hint="eastAsia" w:ascii="宋体" w:hAnsi="宋体"/>
          <w:b/>
          <w:sz w:val="30"/>
          <w:szCs w:val="30"/>
        </w:rPr>
        <w:t>编制说明</w:t>
      </w:r>
    </w:p>
    <w:p w14:paraId="7764B0A7">
      <w:pPr>
        <w:spacing w:line="520" w:lineRule="exact"/>
        <w:jc w:val="center"/>
        <w:rPr>
          <w:rFonts w:ascii="宋体" w:hAnsi="宋体"/>
          <w:b/>
          <w:sz w:val="30"/>
          <w:szCs w:val="30"/>
        </w:rPr>
      </w:pPr>
    </w:p>
    <w:p w14:paraId="2CC4FC64">
      <w:pPr>
        <w:spacing w:line="360" w:lineRule="auto"/>
        <w:ind w:firstLine="480" w:firstLineChars="200"/>
        <w:outlineLvl w:val="0"/>
        <w:rPr>
          <w:rFonts w:ascii="黑体" w:eastAsia="黑体"/>
          <w:sz w:val="24"/>
        </w:rPr>
      </w:pPr>
      <w:r>
        <w:rPr>
          <w:rFonts w:hint="eastAsia" w:ascii="黑体" w:eastAsia="黑体"/>
          <w:sz w:val="24"/>
        </w:rPr>
        <w:t>一、工作简况</w:t>
      </w:r>
    </w:p>
    <w:p w14:paraId="763FEAC6">
      <w:pPr>
        <w:spacing w:line="360" w:lineRule="auto"/>
        <w:ind w:left="465"/>
        <w:outlineLvl w:val="1"/>
        <w:rPr>
          <w:rFonts w:ascii="楷体_GB2312" w:eastAsia="楷体_GB2312"/>
          <w:sz w:val="24"/>
        </w:rPr>
      </w:pPr>
      <w:r>
        <w:rPr>
          <w:rFonts w:hint="eastAsia" w:ascii="楷体_GB2312" w:eastAsia="楷体_GB2312"/>
          <w:sz w:val="24"/>
        </w:rPr>
        <w:t>1任务来源</w:t>
      </w:r>
    </w:p>
    <w:p w14:paraId="0D8ECC63">
      <w:pPr>
        <w:spacing w:line="360" w:lineRule="auto"/>
        <w:ind w:firstLine="480" w:firstLineChars="200"/>
        <w:jc w:val="left"/>
        <w:outlineLvl w:val="1"/>
        <w:rPr>
          <w:rFonts w:ascii="仿宋_GB2312" w:hAnsi="宋体" w:eastAsia="仿宋_GB2312"/>
          <w:sz w:val="24"/>
        </w:rPr>
      </w:pPr>
      <w:r>
        <w:rPr>
          <w:rFonts w:hint="eastAsia" w:ascii="仿宋_GB2312" w:hAnsi="宋体" w:eastAsia="仿宋_GB2312"/>
          <w:sz w:val="24"/>
        </w:rPr>
        <w:t>按照山西省市场监督管理局2024年度第一批地方标准复审修订项目计划的通知（晋市监发[2024]33号）</w:t>
      </w:r>
      <w:r>
        <w:rPr>
          <w:rFonts w:hint="eastAsia" w:ascii="仿宋_GB2312" w:hAnsi="宋体" w:eastAsia="仿宋_GB2312"/>
          <w:sz w:val="24"/>
          <w:lang w:eastAsia="zh-CN"/>
        </w:rPr>
        <w:t>，</w:t>
      </w:r>
      <w:bookmarkStart w:id="0" w:name="_GoBack"/>
      <w:bookmarkEnd w:id="0"/>
      <w:r>
        <w:rPr>
          <w:rFonts w:hint="eastAsia" w:ascii="仿宋_GB2312" w:hAnsi="宋体" w:eastAsia="仿宋_GB2312"/>
          <w:sz w:val="24"/>
        </w:rPr>
        <w:t>《冷凉区旱地菜豆播种保苗技术规程》DB14/T 786-2013被列入山西省地方标准修订计划，本标准由山西省农业标准化技术委员会（SXS/TC19）归口。</w:t>
      </w:r>
    </w:p>
    <w:p w14:paraId="3DD6F40F">
      <w:pPr>
        <w:spacing w:line="360" w:lineRule="auto"/>
        <w:ind w:left="465"/>
        <w:outlineLvl w:val="1"/>
        <w:rPr>
          <w:rFonts w:ascii="楷体_GB2312" w:eastAsia="楷体_GB2312"/>
          <w:sz w:val="24"/>
        </w:rPr>
      </w:pPr>
      <w:r>
        <w:rPr>
          <w:rFonts w:hint="eastAsia" w:ascii="楷体_GB2312" w:eastAsia="楷体_GB2312"/>
          <w:sz w:val="24"/>
        </w:rPr>
        <w:t>2 起草</w:t>
      </w:r>
      <w:r>
        <w:rPr>
          <w:rFonts w:ascii="楷体_GB2312" w:eastAsia="楷体_GB2312"/>
          <w:sz w:val="24"/>
        </w:rPr>
        <w:t>单位和主要起草人</w:t>
      </w:r>
    </w:p>
    <w:p w14:paraId="7A2AFA89">
      <w:pPr>
        <w:spacing w:line="360" w:lineRule="auto"/>
        <w:ind w:firstLine="480" w:firstLineChars="200"/>
        <w:jc w:val="left"/>
        <w:outlineLvl w:val="1"/>
        <w:rPr>
          <w:rFonts w:ascii="仿宋_GB2312" w:hAnsi="宋体" w:eastAsia="仿宋_GB2312"/>
          <w:sz w:val="24"/>
        </w:rPr>
      </w:pPr>
      <w:r>
        <w:rPr>
          <w:rFonts w:ascii="仿宋_GB2312" w:hAnsi="宋体" w:eastAsia="仿宋_GB2312"/>
          <w:sz w:val="24"/>
        </w:rPr>
        <w:t>起草任务由山西农业大学</w:t>
      </w:r>
      <w:r>
        <w:rPr>
          <w:rFonts w:hint="eastAsia" w:ascii="仿宋_GB2312" w:hAnsi="宋体" w:eastAsia="仿宋_GB2312"/>
          <w:sz w:val="24"/>
        </w:rPr>
        <w:t>承担</w:t>
      </w:r>
      <w:r>
        <w:rPr>
          <w:rFonts w:ascii="仿宋_GB2312" w:hAnsi="宋体" w:eastAsia="仿宋_GB2312"/>
          <w:sz w:val="24"/>
        </w:rPr>
        <w:t>。</w:t>
      </w:r>
    </w:p>
    <w:p w14:paraId="073EA4CE">
      <w:pPr>
        <w:spacing w:line="360" w:lineRule="auto"/>
        <w:ind w:firstLine="480" w:firstLineChars="200"/>
        <w:jc w:val="center"/>
        <w:outlineLvl w:val="1"/>
        <w:rPr>
          <w:rFonts w:ascii="仿宋_GB2312" w:hAnsi="宋体" w:eastAsia="仿宋_GB2312"/>
          <w:sz w:val="24"/>
        </w:rPr>
      </w:pPr>
      <w:r>
        <w:rPr>
          <w:rFonts w:ascii="仿宋_GB2312" w:hAnsi="宋体" w:eastAsia="仿宋_GB2312"/>
          <w:sz w:val="24"/>
        </w:rPr>
        <w:t>主要起草人信息</w:t>
      </w:r>
    </w:p>
    <w:tbl>
      <w:tblPr>
        <w:tblStyle w:val="13"/>
        <w:tblW w:w="89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3"/>
        <w:gridCol w:w="722"/>
        <w:gridCol w:w="2602"/>
        <w:gridCol w:w="1879"/>
        <w:gridCol w:w="2630"/>
      </w:tblGrid>
      <w:tr w14:paraId="34738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123" w:type="dxa"/>
          </w:tcPr>
          <w:p w14:paraId="77F145A4">
            <w:pPr>
              <w:spacing w:line="400" w:lineRule="exact"/>
              <w:jc w:val="center"/>
              <w:rPr>
                <w:rFonts w:ascii="仿宋_GB2312" w:eastAsia="仿宋_GB2312"/>
                <w:sz w:val="24"/>
              </w:rPr>
            </w:pPr>
            <w:r>
              <w:rPr>
                <w:rFonts w:hint="eastAsia" w:ascii="仿宋_GB2312" w:eastAsia="仿宋_GB2312"/>
                <w:sz w:val="24"/>
              </w:rPr>
              <w:t>姓名</w:t>
            </w:r>
          </w:p>
        </w:tc>
        <w:tc>
          <w:tcPr>
            <w:tcW w:w="722" w:type="dxa"/>
          </w:tcPr>
          <w:p w14:paraId="2E4E0195">
            <w:pPr>
              <w:spacing w:line="400" w:lineRule="exact"/>
              <w:jc w:val="center"/>
              <w:rPr>
                <w:rFonts w:ascii="仿宋_GB2312" w:eastAsia="仿宋_GB2312"/>
                <w:sz w:val="24"/>
              </w:rPr>
            </w:pPr>
            <w:r>
              <w:rPr>
                <w:rFonts w:hint="eastAsia" w:ascii="仿宋_GB2312" w:eastAsia="仿宋_GB2312"/>
                <w:sz w:val="24"/>
              </w:rPr>
              <w:t>性别</w:t>
            </w:r>
          </w:p>
        </w:tc>
        <w:tc>
          <w:tcPr>
            <w:tcW w:w="2602" w:type="dxa"/>
          </w:tcPr>
          <w:p w14:paraId="14F721CE">
            <w:pPr>
              <w:spacing w:line="400" w:lineRule="exact"/>
              <w:jc w:val="center"/>
              <w:rPr>
                <w:rFonts w:ascii="仿宋_GB2312" w:eastAsia="仿宋_GB2312"/>
                <w:sz w:val="24"/>
              </w:rPr>
            </w:pPr>
            <w:r>
              <w:rPr>
                <w:rFonts w:hint="eastAsia" w:ascii="仿宋_GB2312" w:eastAsia="仿宋_GB2312"/>
                <w:sz w:val="24"/>
              </w:rPr>
              <w:t>职务/职称</w:t>
            </w:r>
          </w:p>
        </w:tc>
        <w:tc>
          <w:tcPr>
            <w:tcW w:w="1879" w:type="dxa"/>
          </w:tcPr>
          <w:p w14:paraId="63C93287">
            <w:pPr>
              <w:spacing w:line="400" w:lineRule="exact"/>
              <w:jc w:val="center"/>
              <w:rPr>
                <w:rFonts w:ascii="仿宋_GB2312" w:eastAsia="仿宋_GB2312"/>
                <w:sz w:val="24"/>
              </w:rPr>
            </w:pPr>
            <w:r>
              <w:rPr>
                <w:rFonts w:hint="eastAsia" w:ascii="仿宋_GB2312" w:eastAsia="仿宋_GB2312"/>
                <w:sz w:val="24"/>
              </w:rPr>
              <w:t>工作单位</w:t>
            </w:r>
          </w:p>
        </w:tc>
        <w:tc>
          <w:tcPr>
            <w:tcW w:w="2630" w:type="dxa"/>
          </w:tcPr>
          <w:p w14:paraId="0DA65CB0">
            <w:pPr>
              <w:spacing w:line="400" w:lineRule="exact"/>
              <w:jc w:val="center"/>
              <w:rPr>
                <w:rFonts w:ascii="仿宋_GB2312" w:eastAsia="仿宋_GB2312"/>
                <w:sz w:val="24"/>
              </w:rPr>
            </w:pPr>
            <w:r>
              <w:rPr>
                <w:rFonts w:hint="eastAsia" w:ascii="仿宋_GB2312" w:eastAsia="仿宋_GB2312"/>
                <w:sz w:val="24"/>
              </w:rPr>
              <w:t>任务分工</w:t>
            </w:r>
          </w:p>
        </w:tc>
      </w:tr>
      <w:tr w14:paraId="043F9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1123" w:type="dxa"/>
          </w:tcPr>
          <w:p w14:paraId="29CD74BF">
            <w:pPr>
              <w:spacing w:line="400" w:lineRule="exact"/>
              <w:jc w:val="center"/>
              <w:rPr>
                <w:rFonts w:ascii="仿宋_GB2312" w:eastAsia="仿宋_GB2312"/>
                <w:sz w:val="24"/>
              </w:rPr>
            </w:pPr>
            <w:r>
              <w:rPr>
                <w:rFonts w:hint="eastAsia" w:ascii="仿宋_GB2312" w:eastAsia="仿宋_GB2312"/>
                <w:sz w:val="24"/>
              </w:rPr>
              <w:t>孔猛</w:t>
            </w:r>
          </w:p>
        </w:tc>
        <w:tc>
          <w:tcPr>
            <w:tcW w:w="722" w:type="dxa"/>
          </w:tcPr>
          <w:p w14:paraId="3960FAFC">
            <w:pPr>
              <w:spacing w:line="400" w:lineRule="exact"/>
              <w:jc w:val="center"/>
              <w:rPr>
                <w:rFonts w:ascii="仿宋_GB2312" w:eastAsia="仿宋_GB2312"/>
                <w:sz w:val="24"/>
              </w:rPr>
            </w:pPr>
            <w:r>
              <w:rPr>
                <w:rFonts w:ascii="仿宋_GB2312" w:eastAsia="仿宋_GB2312"/>
                <w:sz w:val="24"/>
              </w:rPr>
              <w:t>男</w:t>
            </w:r>
          </w:p>
        </w:tc>
        <w:tc>
          <w:tcPr>
            <w:tcW w:w="2602" w:type="dxa"/>
          </w:tcPr>
          <w:p w14:paraId="61EEFA00">
            <w:pPr>
              <w:spacing w:line="400" w:lineRule="exact"/>
              <w:jc w:val="center"/>
              <w:rPr>
                <w:rFonts w:ascii="仿宋_GB2312" w:eastAsia="仿宋_GB2312"/>
                <w:sz w:val="24"/>
              </w:rPr>
            </w:pPr>
            <w:r>
              <w:rPr>
                <w:rFonts w:hint="eastAsia" w:ascii="仿宋_GB2312" w:eastAsia="仿宋_GB2312"/>
                <w:sz w:val="24"/>
              </w:rPr>
              <w:t>无/</w:t>
            </w:r>
            <w:r>
              <w:rPr>
                <w:rFonts w:ascii="仿宋_GB2312" w:eastAsia="仿宋_GB2312"/>
                <w:sz w:val="24"/>
              </w:rPr>
              <w:t>助理研究员</w:t>
            </w:r>
          </w:p>
        </w:tc>
        <w:tc>
          <w:tcPr>
            <w:tcW w:w="1879" w:type="dxa"/>
          </w:tcPr>
          <w:p w14:paraId="7DF66752">
            <w:pPr>
              <w:spacing w:line="400" w:lineRule="exact"/>
              <w:jc w:val="center"/>
              <w:rPr>
                <w:rFonts w:ascii="仿宋_GB2312" w:eastAsia="仿宋_GB2312"/>
                <w:sz w:val="24"/>
              </w:rPr>
            </w:pPr>
            <w:r>
              <w:rPr>
                <w:rFonts w:hint="eastAsia" w:ascii="仿宋_GB2312" w:eastAsia="仿宋_GB2312"/>
                <w:sz w:val="24"/>
              </w:rPr>
              <w:t>山西农业大学</w:t>
            </w:r>
          </w:p>
        </w:tc>
        <w:tc>
          <w:tcPr>
            <w:tcW w:w="2630" w:type="dxa"/>
            <w:vAlign w:val="center"/>
          </w:tcPr>
          <w:p w14:paraId="04E50610">
            <w:pPr>
              <w:pStyle w:val="33"/>
              <w:ind w:left="0" w:leftChars="0"/>
              <w:jc w:val="center"/>
              <w:rPr>
                <w:rFonts w:ascii="仿宋_GB2312" w:hAnsi="Times New Roman"/>
                <w:sz w:val="24"/>
                <w:szCs w:val="24"/>
              </w:rPr>
            </w:pPr>
            <w:r>
              <w:rPr>
                <w:rFonts w:hint="eastAsia" w:ascii="仿宋_GB2312" w:hAnsi="Times New Roman"/>
                <w:sz w:val="24"/>
                <w:szCs w:val="24"/>
              </w:rPr>
              <w:t>标准修订、推广和技术验证</w:t>
            </w:r>
          </w:p>
        </w:tc>
      </w:tr>
      <w:tr w14:paraId="2E986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23" w:type="dxa"/>
          </w:tcPr>
          <w:p w14:paraId="573C98DF">
            <w:pPr>
              <w:spacing w:line="400" w:lineRule="exact"/>
              <w:jc w:val="center"/>
              <w:rPr>
                <w:rFonts w:ascii="仿宋_GB2312" w:eastAsia="仿宋_GB2312"/>
                <w:sz w:val="24"/>
              </w:rPr>
            </w:pPr>
            <w:r>
              <w:rPr>
                <w:rFonts w:hint="eastAsia" w:ascii="仿宋_GB2312" w:eastAsia="仿宋_GB2312"/>
                <w:sz w:val="24"/>
              </w:rPr>
              <w:t>黄明镜</w:t>
            </w:r>
          </w:p>
        </w:tc>
        <w:tc>
          <w:tcPr>
            <w:tcW w:w="722" w:type="dxa"/>
          </w:tcPr>
          <w:p w14:paraId="6ECA68D4">
            <w:pPr>
              <w:spacing w:line="400" w:lineRule="exact"/>
              <w:jc w:val="center"/>
              <w:rPr>
                <w:rFonts w:ascii="仿宋_GB2312" w:eastAsia="仿宋_GB2312"/>
                <w:sz w:val="24"/>
              </w:rPr>
            </w:pPr>
            <w:r>
              <w:rPr>
                <w:rFonts w:ascii="仿宋_GB2312" w:eastAsia="仿宋_GB2312"/>
                <w:sz w:val="24"/>
              </w:rPr>
              <w:t>女</w:t>
            </w:r>
          </w:p>
        </w:tc>
        <w:tc>
          <w:tcPr>
            <w:tcW w:w="2602" w:type="dxa"/>
          </w:tcPr>
          <w:p w14:paraId="2DA66FA7">
            <w:pPr>
              <w:spacing w:line="400" w:lineRule="exact"/>
              <w:jc w:val="center"/>
              <w:rPr>
                <w:rFonts w:ascii="仿宋_GB2312" w:eastAsia="仿宋_GB2312"/>
                <w:sz w:val="24"/>
              </w:rPr>
            </w:pPr>
            <w:r>
              <w:rPr>
                <w:rFonts w:hint="eastAsia" w:ascii="仿宋_GB2312" w:eastAsia="仿宋_GB2312"/>
                <w:sz w:val="24"/>
              </w:rPr>
              <w:t>无/</w:t>
            </w:r>
            <w:r>
              <w:rPr>
                <w:rFonts w:ascii="仿宋_GB2312" w:eastAsia="仿宋_GB2312"/>
                <w:sz w:val="24"/>
              </w:rPr>
              <w:t>研究员</w:t>
            </w:r>
          </w:p>
        </w:tc>
        <w:tc>
          <w:tcPr>
            <w:tcW w:w="1879" w:type="dxa"/>
          </w:tcPr>
          <w:p w14:paraId="6A062AF0">
            <w:pPr>
              <w:spacing w:line="400" w:lineRule="exact"/>
              <w:jc w:val="center"/>
              <w:rPr>
                <w:rFonts w:ascii="仿宋_GB2312" w:eastAsia="仿宋_GB2312"/>
                <w:sz w:val="24"/>
              </w:rPr>
            </w:pPr>
            <w:r>
              <w:rPr>
                <w:rFonts w:hint="eastAsia" w:ascii="仿宋_GB2312" w:eastAsia="仿宋_GB2312"/>
                <w:sz w:val="24"/>
              </w:rPr>
              <w:t>山西农业大学</w:t>
            </w:r>
          </w:p>
        </w:tc>
        <w:tc>
          <w:tcPr>
            <w:tcW w:w="2630" w:type="dxa"/>
            <w:vAlign w:val="center"/>
          </w:tcPr>
          <w:p w14:paraId="4E1DD462">
            <w:pPr>
              <w:pStyle w:val="33"/>
              <w:ind w:left="0" w:leftChars="0"/>
              <w:jc w:val="center"/>
              <w:rPr>
                <w:rFonts w:ascii="仿宋_GB2312" w:hAnsi="Times New Roman"/>
                <w:sz w:val="24"/>
                <w:szCs w:val="24"/>
              </w:rPr>
            </w:pPr>
            <w:r>
              <w:rPr>
                <w:rFonts w:hint="eastAsia" w:ascii="仿宋_GB2312" w:hAnsi="Times New Roman"/>
                <w:sz w:val="24"/>
                <w:szCs w:val="24"/>
              </w:rPr>
              <w:t>标准修订</w:t>
            </w:r>
          </w:p>
        </w:tc>
      </w:tr>
      <w:tr w14:paraId="694C5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23" w:type="dxa"/>
          </w:tcPr>
          <w:p w14:paraId="756ED319">
            <w:pPr>
              <w:spacing w:line="400" w:lineRule="exact"/>
              <w:jc w:val="center"/>
              <w:rPr>
                <w:rFonts w:ascii="仿宋_GB2312" w:eastAsia="仿宋_GB2312"/>
                <w:sz w:val="24"/>
              </w:rPr>
            </w:pPr>
            <w:r>
              <w:rPr>
                <w:rFonts w:hint="eastAsia" w:ascii="仿宋_GB2312" w:eastAsia="仿宋_GB2312"/>
                <w:sz w:val="24"/>
              </w:rPr>
              <w:t>张冬梅</w:t>
            </w:r>
          </w:p>
        </w:tc>
        <w:tc>
          <w:tcPr>
            <w:tcW w:w="722" w:type="dxa"/>
          </w:tcPr>
          <w:p w14:paraId="3A0478A3">
            <w:pPr>
              <w:spacing w:line="400" w:lineRule="exact"/>
              <w:jc w:val="center"/>
              <w:rPr>
                <w:rFonts w:ascii="仿宋_GB2312" w:eastAsia="仿宋_GB2312"/>
                <w:sz w:val="24"/>
              </w:rPr>
            </w:pPr>
            <w:r>
              <w:rPr>
                <w:rFonts w:ascii="仿宋_GB2312" w:eastAsia="仿宋_GB2312"/>
                <w:sz w:val="24"/>
              </w:rPr>
              <w:t>女</w:t>
            </w:r>
          </w:p>
        </w:tc>
        <w:tc>
          <w:tcPr>
            <w:tcW w:w="2602" w:type="dxa"/>
          </w:tcPr>
          <w:p w14:paraId="5F048925">
            <w:pPr>
              <w:spacing w:line="400" w:lineRule="exact"/>
              <w:jc w:val="center"/>
              <w:rPr>
                <w:rFonts w:ascii="仿宋_GB2312" w:eastAsia="仿宋_GB2312"/>
                <w:sz w:val="24"/>
              </w:rPr>
            </w:pPr>
            <w:r>
              <w:rPr>
                <w:rFonts w:hint="eastAsia" w:ascii="仿宋_GB2312" w:eastAsia="仿宋_GB2312"/>
                <w:sz w:val="24"/>
              </w:rPr>
              <w:t>无/</w:t>
            </w:r>
            <w:r>
              <w:rPr>
                <w:rFonts w:ascii="仿宋_GB2312" w:eastAsia="仿宋_GB2312"/>
                <w:sz w:val="24"/>
              </w:rPr>
              <w:t>研究员</w:t>
            </w:r>
          </w:p>
        </w:tc>
        <w:tc>
          <w:tcPr>
            <w:tcW w:w="1879" w:type="dxa"/>
          </w:tcPr>
          <w:p w14:paraId="17E120F4">
            <w:pPr>
              <w:spacing w:line="400" w:lineRule="exact"/>
              <w:jc w:val="center"/>
              <w:rPr>
                <w:rFonts w:ascii="仿宋_GB2312" w:eastAsia="仿宋_GB2312"/>
                <w:sz w:val="24"/>
              </w:rPr>
            </w:pPr>
            <w:r>
              <w:rPr>
                <w:rFonts w:hint="eastAsia" w:ascii="仿宋_GB2312" w:eastAsia="仿宋_GB2312"/>
                <w:sz w:val="24"/>
              </w:rPr>
              <w:t>山西农业大学</w:t>
            </w:r>
          </w:p>
        </w:tc>
        <w:tc>
          <w:tcPr>
            <w:tcW w:w="2630" w:type="dxa"/>
            <w:vAlign w:val="center"/>
          </w:tcPr>
          <w:p w14:paraId="7F80D242">
            <w:pPr>
              <w:pStyle w:val="33"/>
              <w:ind w:left="0" w:leftChars="0"/>
              <w:jc w:val="center"/>
              <w:rPr>
                <w:rFonts w:ascii="仿宋_GB2312" w:hAnsi="Times New Roman"/>
                <w:sz w:val="24"/>
                <w:szCs w:val="24"/>
              </w:rPr>
            </w:pPr>
            <w:r>
              <w:rPr>
                <w:rFonts w:hint="eastAsia" w:ascii="仿宋_GB2312" w:hAnsi="Times New Roman"/>
                <w:sz w:val="24"/>
                <w:szCs w:val="24"/>
              </w:rPr>
              <w:t>标准修订</w:t>
            </w:r>
          </w:p>
        </w:tc>
      </w:tr>
      <w:tr w14:paraId="46FFE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23" w:type="dxa"/>
          </w:tcPr>
          <w:p w14:paraId="5BB2A656">
            <w:pPr>
              <w:spacing w:line="400" w:lineRule="exact"/>
              <w:jc w:val="center"/>
              <w:rPr>
                <w:rFonts w:ascii="仿宋_GB2312" w:eastAsia="仿宋_GB2312"/>
                <w:sz w:val="24"/>
              </w:rPr>
            </w:pPr>
            <w:r>
              <w:rPr>
                <w:rFonts w:hint="eastAsia" w:ascii="仿宋_GB2312" w:eastAsia="仿宋_GB2312"/>
                <w:sz w:val="24"/>
              </w:rPr>
              <w:t>李洁</w:t>
            </w:r>
          </w:p>
        </w:tc>
        <w:tc>
          <w:tcPr>
            <w:tcW w:w="722" w:type="dxa"/>
          </w:tcPr>
          <w:p w14:paraId="6FEE99D5">
            <w:pPr>
              <w:spacing w:line="400" w:lineRule="exact"/>
              <w:jc w:val="center"/>
              <w:rPr>
                <w:rFonts w:ascii="仿宋_GB2312" w:eastAsia="仿宋_GB2312"/>
                <w:sz w:val="24"/>
              </w:rPr>
            </w:pPr>
            <w:r>
              <w:rPr>
                <w:rFonts w:ascii="仿宋_GB2312" w:eastAsia="仿宋_GB2312"/>
                <w:sz w:val="24"/>
              </w:rPr>
              <w:t>女</w:t>
            </w:r>
          </w:p>
        </w:tc>
        <w:tc>
          <w:tcPr>
            <w:tcW w:w="2602" w:type="dxa"/>
          </w:tcPr>
          <w:p w14:paraId="187ADAE1">
            <w:pPr>
              <w:spacing w:line="400" w:lineRule="exact"/>
              <w:jc w:val="center"/>
              <w:rPr>
                <w:rFonts w:ascii="仿宋_GB2312" w:eastAsia="仿宋_GB2312"/>
                <w:sz w:val="24"/>
              </w:rPr>
            </w:pPr>
            <w:r>
              <w:rPr>
                <w:rFonts w:hint="eastAsia" w:ascii="仿宋_GB2312" w:eastAsia="仿宋_GB2312"/>
                <w:sz w:val="24"/>
              </w:rPr>
              <w:t>无/副研究员</w:t>
            </w:r>
          </w:p>
        </w:tc>
        <w:tc>
          <w:tcPr>
            <w:tcW w:w="1879" w:type="dxa"/>
          </w:tcPr>
          <w:p w14:paraId="30938EC0">
            <w:pPr>
              <w:spacing w:line="400" w:lineRule="exact"/>
              <w:jc w:val="center"/>
              <w:rPr>
                <w:rFonts w:ascii="仿宋_GB2312" w:eastAsia="仿宋_GB2312"/>
                <w:sz w:val="24"/>
              </w:rPr>
            </w:pPr>
            <w:r>
              <w:rPr>
                <w:rFonts w:hint="eastAsia" w:ascii="仿宋_GB2312" w:eastAsia="仿宋_GB2312"/>
                <w:sz w:val="24"/>
              </w:rPr>
              <w:t>山西农业大学</w:t>
            </w:r>
          </w:p>
        </w:tc>
        <w:tc>
          <w:tcPr>
            <w:tcW w:w="2630" w:type="dxa"/>
            <w:vAlign w:val="center"/>
          </w:tcPr>
          <w:p w14:paraId="0B7F8AB0">
            <w:pPr>
              <w:pStyle w:val="33"/>
              <w:ind w:left="0" w:leftChars="0"/>
              <w:jc w:val="center"/>
              <w:rPr>
                <w:rFonts w:ascii="仿宋_GB2312" w:hAnsi="Times New Roman"/>
                <w:sz w:val="24"/>
                <w:szCs w:val="24"/>
              </w:rPr>
            </w:pPr>
            <w:r>
              <w:rPr>
                <w:rFonts w:hint="eastAsia" w:ascii="仿宋_GB2312" w:hAnsi="Times New Roman"/>
                <w:sz w:val="24"/>
                <w:szCs w:val="24"/>
              </w:rPr>
              <w:t>标准修订</w:t>
            </w:r>
          </w:p>
        </w:tc>
      </w:tr>
      <w:tr w14:paraId="0A214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23" w:type="dxa"/>
          </w:tcPr>
          <w:p w14:paraId="06B5535A">
            <w:pPr>
              <w:spacing w:line="400" w:lineRule="exact"/>
              <w:jc w:val="center"/>
              <w:rPr>
                <w:rFonts w:ascii="仿宋_GB2312" w:eastAsia="仿宋_GB2312"/>
                <w:sz w:val="24"/>
              </w:rPr>
            </w:pPr>
            <w:r>
              <w:rPr>
                <w:rFonts w:hint="eastAsia" w:ascii="仿宋_GB2312" w:eastAsia="仿宋_GB2312"/>
                <w:sz w:val="24"/>
              </w:rPr>
              <w:t>刘化涛</w:t>
            </w:r>
          </w:p>
        </w:tc>
        <w:tc>
          <w:tcPr>
            <w:tcW w:w="722" w:type="dxa"/>
          </w:tcPr>
          <w:p w14:paraId="29BC6ABD">
            <w:pPr>
              <w:spacing w:line="400" w:lineRule="exact"/>
              <w:jc w:val="center"/>
              <w:rPr>
                <w:rFonts w:ascii="仿宋_GB2312" w:eastAsia="仿宋_GB2312"/>
                <w:sz w:val="24"/>
              </w:rPr>
            </w:pPr>
            <w:r>
              <w:rPr>
                <w:rFonts w:ascii="仿宋_GB2312" w:eastAsia="仿宋_GB2312"/>
                <w:sz w:val="24"/>
              </w:rPr>
              <w:t>男</w:t>
            </w:r>
          </w:p>
        </w:tc>
        <w:tc>
          <w:tcPr>
            <w:tcW w:w="2602" w:type="dxa"/>
          </w:tcPr>
          <w:p w14:paraId="4820ACF9">
            <w:pPr>
              <w:spacing w:line="400" w:lineRule="exact"/>
              <w:jc w:val="center"/>
              <w:rPr>
                <w:rFonts w:ascii="仿宋_GB2312" w:eastAsia="仿宋_GB2312"/>
                <w:sz w:val="24"/>
              </w:rPr>
            </w:pPr>
            <w:r>
              <w:rPr>
                <w:rFonts w:hint="eastAsia" w:ascii="仿宋_GB2312" w:eastAsia="仿宋_GB2312"/>
                <w:sz w:val="24"/>
              </w:rPr>
              <w:t>副院长/副研究员</w:t>
            </w:r>
          </w:p>
        </w:tc>
        <w:tc>
          <w:tcPr>
            <w:tcW w:w="1879" w:type="dxa"/>
          </w:tcPr>
          <w:p w14:paraId="780915F3">
            <w:pPr>
              <w:spacing w:line="400" w:lineRule="exact"/>
              <w:jc w:val="center"/>
              <w:rPr>
                <w:rFonts w:ascii="仿宋_GB2312" w:eastAsia="仿宋_GB2312"/>
                <w:sz w:val="24"/>
              </w:rPr>
            </w:pPr>
            <w:r>
              <w:rPr>
                <w:rFonts w:hint="eastAsia" w:ascii="仿宋_GB2312" w:eastAsia="仿宋_GB2312"/>
                <w:sz w:val="24"/>
              </w:rPr>
              <w:t>山西农业大学</w:t>
            </w:r>
          </w:p>
        </w:tc>
        <w:tc>
          <w:tcPr>
            <w:tcW w:w="2630" w:type="dxa"/>
            <w:vAlign w:val="center"/>
          </w:tcPr>
          <w:p w14:paraId="76E7D705">
            <w:pPr>
              <w:pStyle w:val="33"/>
              <w:ind w:left="0" w:leftChars="0"/>
              <w:jc w:val="center"/>
              <w:rPr>
                <w:rFonts w:ascii="仿宋_GB2312" w:hAnsi="Times New Roman"/>
                <w:sz w:val="24"/>
                <w:szCs w:val="24"/>
              </w:rPr>
            </w:pPr>
            <w:r>
              <w:rPr>
                <w:rFonts w:hint="eastAsia" w:ascii="仿宋_GB2312" w:hAnsi="Times New Roman"/>
                <w:sz w:val="24"/>
                <w:szCs w:val="24"/>
              </w:rPr>
              <w:t>标准修订</w:t>
            </w:r>
          </w:p>
        </w:tc>
      </w:tr>
      <w:tr w14:paraId="7DE79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23" w:type="dxa"/>
          </w:tcPr>
          <w:p w14:paraId="78FF6B0A">
            <w:pPr>
              <w:spacing w:line="400" w:lineRule="exact"/>
              <w:jc w:val="center"/>
              <w:rPr>
                <w:rFonts w:ascii="仿宋_GB2312" w:eastAsia="仿宋_GB2312"/>
                <w:sz w:val="24"/>
              </w:rPr>
            </w:pPr>
            <w:r>
              <w:rPr>
                <w:rFonts w:hint="eastAsia" w:ascii="仿宋_GB2312" w:eastAsia="仿宋_GB2312"/>
                <w:sz w:val="24"/>
              </w:rPr>
              <w:t>黄学芳</w:t>
            </w:r>
          </w:p>
        </w:tc>
        <w:tc>
          <w:tcPr>
            <w:tcW w:w="722" w:type="dxa"/>
          </w:tcPr>
          <w:p w14:paraId="0534041F">
            <w:pPr>
              <w:spacing w:line="400" w:lineRule="exact"/>
              <w:jc w:val="center"/>
              <w:rPr>
                <w:rFonts w:ascii="仿宋_GB2312" w:eastAsia="仿宋_GB2312"/>
                <w:sz w:val="24"/>
              </w:rPr>
            </w:pPr>
            <w:r>
              <w:rPr>
                <w:rFonts w:ascii="仿宋_GB2312" w:eastAsia="仿宋_GB2312"/>
                <w:sz w:val="24"/>
              </w:rPr>
              <w:t>男</w:t>
            </w:r>
          </w:p>
        </w:tc>
        <w:tc>
          <w:tcPr>
            <w:tcW w:w="2602" w:type="dxa"/>
          </w:tcPr>
          <w:p w14:paraId="252C84D6">
            <w:pPr>
              <w:spacing w:line="400" w:lineRule="exact"/>
              <w:jc w:val="center"/>
              <w:rPr>
                <w:rFonts w:ascii="仿宋_GB2312" w:eastAsia="仿宋_GB2312"/>
                <w:sz w:val="24"/>
              </w:rPr>
            </w:pPr>
            <w:r>
              <w:rPr>
                <w:rFonts w:hint="eastAsia" w:ascii="仿宋_GB2312" w:eastAsia="仿宋_GB2312"/>
                <w:sz w:val="24"/>
              </w:rPr>
              <w:t>无/</w:t>
            </w:r>
            <w:r>
              <w:rPr>
                <w:rFonts w:ascii="仿宋_GB2312" w:eastAsia="仿宋_GB2312"/>
                <w:sz w:val="24"/>
              </w:rPr>
              <w:t>研究员</w:t>
            </w:r>
          </w:p>
        </w:tc>
        <w:tc>
          <w:tcPr>
            <w:tcW w:w="1879" w:type="dxa"/>
          </w:tcPr>
          <w:p w14:paraId="60866AB1">
            <w:pPr>
              <w:spacing w:line="400" w:lineRule="exact"/>
              <w:jc w:val="center"/>
              <w:rPr>
                <w:rFonts w:ascii="仿宋_GB2312" w:eastAsia="仿宋_GB2312"/>
                <w:sz w:val="24"/>
              </w:rPr>
            </w:pPr>
            <w:r>
              <w:rPr>
                <w:rFonts w:hint="eastAsia" w:ascii="仿宋_GB2312" w:eastAsia="仿宋_GB2312"/>
                <w:sz w:val="24"/>
              </w:rPr>
              <w:t>山西农业大学</w:t>
            </w:r>
          </w:p>
        </w:tc>
        <w:tc>
          <w:tcPr>
            <w:tcW w:w="2630" w:type="dxa"/>
            <w:vAlign w:val="center"/>
          </w:tcPr>
          <w:p w14:paraId="5E9A98B7">
            <w:pPr>
              <w:pStyle w:val="33"/>
              <w:ind w:left="0" w:leftChars="0"/>
              <w:jc w:val="center"/>
              <w:rPr>
                <w:rFonts w:ascii="仿宋_GB2312" w:hAnsi="Times New Roman"/>
                <w:sz w:val="24"/>
                <w:szCs w:val="24"/>
              </w:rPr>
            </w:pPr>
            <w:r>
              <w:rPr>
                <w:rFonts w:hint="eastAsia" w:ascii="仿宋_GB2312" w:hAnsi="Times New Roman"/>
                <w:sz w:val="24"/>
                <w:szCs w:val="24"/>
              </w:rPr>
              <w:t>标准修订</w:t>
            </w:r>
          </w:p>
        </w:tc>
      </w:tr>
      <w:tr w14:paraId="3AD89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23" w:type="dxa"/>
          </w:tcPr>
          <w:p w14:paraId="1596A3D1">
            <w:pPr>
              <w:spacing w:line="400" w:lineRule="exact"/>
              <w:jc w:val="center"/>
              <w:rPr>
                <w:rFonts w:ascii="仿宋_GB2312" w:eastAsia="仿宋_GB2312"/>
                <w:sz w:val="24"/>
              </w:rPr>
            </w:pPr>
            <w:r>
              <w:rPr>
                <w:rFonts w:hint="eastAsia" w:ascii="仿宋_GB2312" w:eastAsia="仿宋_GB2312"/>
                <w:sz w:val="24"/>
              </w:rPr>
              <w:t>王娟玲</w:t>
            </w:r>
          </w:p>
        </w:tc>
        <w:tc>
          <w:tcPr>
            <w:tcW w:w="722" w:type="dxa"/>
          </w:tcPr>
          <w:p w14:paraId="10284F6D">
            <w:pPr>
              <w:spacing w:line="400" w:lineRule="exact"/>
              <w:jc w:val="center"/>
              <w:rPr>
                <w:rFonts w:ascii="仿宋_GB2312" w:eastAsia="仿宋_GB2312"/>
                <w:sz w:val="24"/>
              </w:rPr>
            </w:pPr>
            <w:r>
              <w:rPr>
                <w:rFonts w:ascii="仿宋_GB2312" w:eastAsia="仿宋_GB2312"/>
                <w:sz w:val="24"/>
              </w:rPr>
              <w:t>女</w:t>
            </w:r>
          </w:p>
        </w:tc>
        <w:tc>
          <w:tcPr>
            <w:tcW w:w="2602" w:type="dxa"/>
          </w:tcPr>
          <w:p w14:paraId="2C098482">
            <w:pPr>
              <w:spacing w:line="400" w:lineRule="exact"/>
              <w:jc w:val="center"/>
              <w:rPr>
                <w:rFonts w:ascii="仿宋_GB2312" w:eastAsia="仿宋_GB2312"/>
                <w:sz w:val="24"/>
              </w:rPr>
            </w:pPr>
            <w:r>
              <w:rPr>
                <w:rFonts w:ascii="仿宋_GB2312" w:eastAsia="仿宋_GB2312"/>
                <w:sz w:val="24"/>
              </w:rPr>
              <w:t>研究员</w:t>
            </w:r>
          </w:p>
        </w:tc>
        <w:tc>
          <w:tcPr>
            <w:tcW w:w="1879" w:type="dxa"/>
          </w:tcPr>
          <w:p w14:paraId="6A9B9859">
            <w:pPr>
              <w:spacing w:line="400" w:lineRule="exact"/>
              <w:jc w:val="center"/>
              <w:rPr>
                <w:rFonts w:ascii="仿宋_GB2312" w:eastAsia="仿宋_GB2312"/>
                <w:sz w:val="24"/>
              </w:rPr>
            </w:pPr>
            <w:r>
              <w:rPr>
                <w:rFonts w:hint="eastAsia" w:ascii="仿宋_GB2312" w:eastAsia="仿宋_GB2312"/>
                <w:sz w:val="24"/>
              </w:rPr>
              <w:t>山西农业大学</w:t>
            </w:r>
          </w:p>
        </w:tc>
        <w:tc>
          <w:tcPr>
            <w:tcW w:w="2630" w:type="dxa"/>
            <w:vAlign w:val="center"/>
          </w:tcPr>
          <w:p w14:paraId="364C49AC">
            <w:pPr>
              <w:pStyle w:val="33"/>
              <w:ind w:left="0" w:leftChars="0"/>
              <w:jc w:val="center"/>
              <w:rPr>
                <w:rFonts w:ascii="仿宋_GB2312" w:hAnsi="Times New Roman"/>
                <w:sz w:val="24"/>
                <w:szCs w:val="24"/>
              </w:rPr>
            </w:pPr>
            <w:r>
              <w:rPr>
                <w:rFonts w:hint="eastAsia" w:ascii="仿宋_GB2312" w:hAnsi="Times New Roman"/>
                <w:sz w:val="24"/>
                <w:szCs w:val="24"/>
              </w:rPr>
              <w:t>标准修订</w:t>
            </w:r>
          </w:p>
        </w:tc>
      </w:tr>
      <w:tr w14:paraId="2A836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23" w:type="dxa"/>
          </w:tcPr>
          <w:p w14:paraId="2B9D21F7">
            <w:pPr>
              <w:spacing w:line="400" w:lineRule="exact"/>
              <w:jc w:val="center"/>
              <w:rPr>
                <w:rFonts w:ascii="仿宋_GB2312" w:eastAsia="仿宋_GB2312"/>
                <w:sz w:val="24"/>
              </w:rPr>
            </w:pPr>
            <w:r>
              <w:rPr>
                <w:rFonts w:hint="eastAsia" w:ascii="仿宋_GB2312" w:eastAsia="仿宋_GB2312"/>
                <w:sz w:val="24"/>
              </w:rPr>
              <w:t>张伟</w:t>
            </w:r>
          </w:p>
        </w:tc>
        <w:tc>
          <w:tcPr>
            <w:tcW w:w="722" w:type="dxa"/>
          </w:tcPr>
          <w:p w14:paraId="4EB640D3">
            <w:pPr>
              <w:spacing w:line="400" w:lineRule="exact"/>
              <w:jc w:val="center"/>
              <w:rPr>
                <w:rFonts w:ascii="仿宋_GB2312" w:eastAsia="仿宋_GB2312"/>
                <w:sz w:val="24"/>
              </w:rPr>
            </w:pPr>
            <w:r>
              <w:rPr>
                <w:rFonts w:ascii="仿宋_GB2312" w:eastAsia="仿宋_GB2312"/>
                <w:sz w:val="24"/>
              </w:rPr>
              <w:t>男</w:t>
            </w:r>
          </w:p>
        </w:tc>
        <w:tc>
          <w:tcPr>
            <w:tcW w:w="2602" w:type="dxa"/>
          </w:tcPr>
          <w:p w14:paraId="1F42C48D">
            <w:pPr>
              <w:spacing w:line="400" w:lineRule="exact"/>
              <w:jc w:val="center"/>
              <w:rPr>
                <w:rFonts w:ascii="仿宋_GB2312" w:eastAsia="仿宋_GB2312"/>
                <w:sz w:val="24"/>
              </w:rPr>
            </w:pPr>
            <w:r>
              <w:rPr>
                <w:rFonts w:hint="eastAsia" w:ascii="仿宋_GB2312" w:eastAsia="仿宋_GB2312"/>
                <w:sz w:val="24"/>
              </w:rPr>
              <w:t>办公室主任/副研究员</w:t>
            </w:r>
            <w:r>
              <w:rPr>
                <w:rFonts w:ascii="仿宋_GB2312" w:eastAsia="仿宋_GB2312"/>
                <w:sz w:val="24"/>
              </w:rPr>
              <w:t xml:space="preserve"> </w:t>
            </w:r>
          </w:p>
        </w:tc>
        <w:tc>
          <w:tcPr>
            <w:tcW w:w="1879" w:type="dxa"/>
          </w:tcPr>
          <w:p w14:paraId="1616F03C">
            <w:pPr>
              <w:spacing w:line="400" w:lineRule="exact"/>
              <w:jc w:val="center"/>
              <w:rPr>
                <w:rFonts w:ascii="仿宋_GB2312" w:eastAsia="仿宋_GB2312"/>
                <w:sz w:val="24"/>
              </w:rPr>
            </w:pPr>
            <w:r>
              <w:rPr>
                <w:rFonts w:hint="eastAsia" w:ascii="仿宋_GB2312" w:eastAsia="仿宋_GB2312"/>
                <w:sz w:val="24"/>
              </w:rPr>
              <w:t>山西农业大学</w:t>
            </w:r>
          </w:p>
        </w:tc>
        <w:tc>
          <w:tcPr>
            <w:tcW w:w="2630" w:type="dxa"/>
            <w:vAlign w:val="center"/>
          </w:tcPr>
          <w:p w14:paraId="443F2CCB">
            <w:pPr>
              <w:pStyle w:val="33"/>
              <w:ind w:left="0" w:leftChars="0"/>
              <w:jc w:val="center"/>
              <w:rPr>
                <w:rFonts w:ascii="仿宋_GB2312" w:hAnsi="Times New Roman"/>
                <w:sz w:val="24"/>
                <w:szCs w:val="24"/>
              </w:rPr>
            </w:pPr>
            <w:r>
              <w:rPr>
                <w:rFonts w:hint="eastAsia" w:ascii="仿宋_GB2312" w:hAnsi="Times New Roman"/>
                <w:sz w:val="24"/>
                <w:szCs w:val="24"/>
              </w:rPr>
              <w:t>征求意见</w:t>
            </w:r>
          </w:p>
        </w:tc>
      </w:tr>
      <w:tr w14:paraId="4230C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23" w:type="dxa"/>
          </w:tcPr>
          <w:p w14:paraId="62249AB6">
            <w:pPr>
              <w:spacing w:line="400" w:lineRule="exact"/>
              <w:jc w:val="center"/>
              <w:rPr>
                <w:rFonts w:ascii="仿宋_GB2312" w:eastAsia="仿宋_GB2312"/>
                <w:sz w:val="24"/>
              </w:rPr>
            </w:pPr>
            <w:r>
              <w:rPr>
                <w:rFonts w:hint="eastAsia" w:ascii="仿宋_GB2312" w:eastAsia="仿宋_GB2312"/>
                <w:sz w:val="24"/>
              </w:rPr>
              <w:t>刘恩科</w:t>
            </w:r>
          </w:p>
        </w:tc>
        <w:tc>
          <w:tcPr>
            <w:tcW w:w="722" w:type="dxa"/>
          </w:tcPr>
          <w:p w14:paraId="2A509C94">
            <w:pPr>
              <w:spacing w:line="400" w:lineRule="exact"/>
              <w:jc w:val="center"/>
              <w:rPr>
                <w:rFonts w:ascii="仿宋_GB2312" w:eastAsia="仿宋_GB2312"/>
                <w:sz w:val="24"/>
              </w:rPr>
            </w:pPr>
            <w:r>
              <w:rPr>
                <w:rFonts w:ascii="仿宋_GB2312" w:eastAsia="仿宋_GB2312"/>
                <w:sz w:val="24"/>
              </w:rPr>
              <w:t>男</w:t>
            </w:r>
          </w:p>
        </w:tc>
        <w:tc>
          <w:tcPr>
            <w:tcW w:w="2602" w:type="dxa"/>
          </w:tcPr>
          <w:p w14:paraId="1A6B03D4">
            <w:pPr>
              <w:spacing w:line="400" w:lineRule="exact"/>
              <w:jc w:val="center"/>
              <w:rPr>
                <w:rFonts w:ascii="仿宋_GB2312" w:eastAsia="仿宋_GB2312"/>
                <w:sz w:val="24"/>
              </w:rPr>
            </w:pPr>
            <w:r>
              <w:rPr>
                <w:rFonts w:hint="eastAsia" w:ascii="仿宋_GB2312" w:eastAsia="仿宋_GB2312"/>
                <w:sz w:val="24"/>
              </w:rPr>
              <w:t>院长/</w:t>
            </w:r>
            <w:r>
              <w:rPr>
                <w:rFonts w:ascii="仿宋_GB2312" w:eastAsia="仿宋_GB2312"/>
                <w:sz w:val="24"/>
              </w:rPr>
              <w:t>研究员</w:t>
            </w:r>
          </w:p>
        </w:tc>
        <w:tc>
          <w:tcPr>
            <w:tcW w:w="1879" w:type="dxa"/>
          </w:tcPr>
          <w:p w14:paraId="236799C1">
            <w:pPr>
              <w:spacing w:line="400" w:lineRule="exact"/>
              <w:jc w:val="center"/>
              <w:rPr>
                <w:rFonts w:ascii="仿宋_GB2312" w:eastAsia="仿宋_GB2312"/>
                <w:sz w:val="24"/>
              </w:rPr>
            </w:pPr>
            <w:r>
              <w:rPr>
                <w:rFonts w:hint="eastAsia" w:ascii="仿宋_GB2312" w:eastAsia="仿宋_GB2312"/>
                <w:sz w:val="24"/>
              </w:rPr>
              <w:t>山西农业大学</w:t>
            </w:r>
          </w:p>
        </w:tc>
        <w:tc>
          <w:tcPr>
            <w:tcW w:w="2630" w:type="dxa"/>
            <w:vAlign w:val="center"/>
          </w:tcPr>
          <w:p w14:paraId="3AFFD75A">
            <w:pPr>
              <w:pStyle w:val="33"/>
              <w:ind w:left="0" w:leftChars="0"/>
              <w:jc w:val="center"/>
              <w:rPr>
                <w:rFonts w:ascii="仿宋_GB2312" w:hAnsi="Times New Roman"/>
                <w:sz w:val="24"/>
                <w:szCs w:val="24"/>
              </w:rPr>
            </w:pPr>
            <w:r>
              <w:rPr>
                <w:rFonts w:hint="eastAsia" w:ascii="仿宋_GB2312" w:hAnsi="Times New Roman"/>
                <w:sz w:val="24"/>
                <w:szCs w:val="24"/>
              </w:rPr>
              <w:t>标准推广</w:t>
            </w:r>
          </w:p>
        </w:tc>
      </w:tr>
      <w:tr w14:paraId="6B90B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23" w:type="dxa"/>
          </w:tcPr>
          <w:p w14:paraId="52E79405">
            <w:pPr>
              <w:spacing w:line="400" w:lineRule="exact"/>
              <w:jc w:val="center"/>
              <w:rPr>
                <w:rFonts w:ascii="仿宋_GB2312" w:eastAsia="仿宋_GB2312"/>
                <w:sz w:val="24"/>
              </w:rPr>
            </w:pPr>
            <w:r>
              <w:rPr>
                <w:rFonts w:hint="eastAsia" w:ascii="仿宋_GB2312" w:eastAsia="仿宋_GB2312"/>
                <w:sz w:val="24"/>
              </w:rPr>
              <w:t>韩彦龙</w:t>
            </w:r>
          </w:p>
        </w:tc>
        <w:tc>
          <w:tcPr>
            <w:tcW w:w="722" w:type="dxa"/>
          </w:tcPr>
          <w:p w14:paraId="1CF24548">
            <w:pPr>
              <w:spacing w:line="400" w:lineRule="exact"/>
              <w:jc w:val="center"/>
              <w:rPr>
                <w:rFonts w:ascii="仿宋_GB2312" w:eastAsia="仿宋_GB2312"/>
                <w:sz w:val="24"/>
              </w:rPr>
            </w:pPr>
            <w:r>
              <w:rPr>
                <w:rFonts w:ascii="仿宋_GB2312" w:eastAsia="仿宋_GB2312"/>
                <w:sz w:val="24"/>
              </w:rPr>
              <w:t>男</w:t>
            </w:r>
          </w:p>
        </w:tc>
        <w:tc>
          <w:tcPr>
            <w:tcW w:w="2602" w:type="dxa"/>
          </w:tcPr>
          <w:p w14:paraId="17CB9DAE">
            <w:pPr>
              <w:spacing w:line="400" w:lineRule="exact"/>
              <w:jc w:val="center"/>
              <w:rPr>
                <w:rFonts w:ascii="仿宋_GB2312" w:eastAsia="仿宋_GB2312"/>
                <w:sz w:val="24"/>
              </w:rPr>
            </w:pPr>
            <w:r>
              <w:rPr>
                <w:rFonts w:hint="eastAsia" w:ascii="仿宋_GB2312" w:eastAsia="仿宋_GB2312"/>
                <w:sz w:val="24"/>
              </w:rPr>
              <w:t>无/副研究员</w:t>
            </w:r>
          </w:p>
        </w:tc>
        <w:tc>
          <w:tcPr>
            <w:tcW w:w="1879" w:type="dxa"/>
          </w:tcPr>
          <w:p w14:paraId="3D38768D">
            <w:pPr>
              <w:spacing w:line="400" w:lineRule="exact"/>
              <w:jc w:val="center"/>
              <w:rPr>
                <w:rFonts w:ascii="仿宋_GB2312" w:eastAsia="仿宋_GB2312"/>
                <w:sz w:val="24"/>
              </w:rPr>
            </w:pPr>
            <w:r>
              <w:rPr>
                <w:rFonts w:hint="eastAsia" w:ascii="仿宋_GB2312" w:eastAsia="仿宋_GB2312"/>
                <w:sz w:val="24"/>
              </w:rPr>
              <w:t>山西农业大学</w:t>
            </w:r>
          </w:p>
        </w:tc>
        <w:tc>
          <w:tcPr>
            <w:tcW w:w="2630" w:type="dxa"/>
            <w:vAlign w:val="center"/>
          </w:tcPr>
          <w:p w14:paraId="4863C047">
            <w:pPr>
              <w:pStyle w:val="33"/>
              <w:ind w:left="0" w:leftChars="0"/>
              <w:jc w:val="center"/>
              <w:rPr>
                <w:rFonts w:ascii="仿宋_GB2312" w:hAnsi="Times New Roman"/>
                <w:sz w:val="24"/>
                <w:szCs w:val="24"/>
              </w:rPr>
            </w:pPr>
            <w:r>
              <w:rPr>
                <w:rFonts w:hint="eastAsia" w:ascii="仿宋_GB2312" w:hAnsi="Times New Roman"/>
                <w:sz w:val="24"/>
                <w:szCs w:val="24"/>
              </w:rPr>
              <w:t>收集资料</w:t>
            </w:r>
          </w:p>
        </w:tc>
      </w:tr>
      <w:tr w14:paraId="332C3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23" w:type="dxa"/>
          </w:tcPr>
          <w:p w14:paraId="3C49D350">
            <w:pPr>
              <w:spacing w:line="400" w:lineRule="exact"/>
              <w:jc w:val="center"/>
              <w:rPr>
                <w:rFonts w:ascii="仿宋_GB2312" w:eastAsia="仿宋_GB2312"/>
                <w:sz w:val="24"/>
              </w:rPr>
            </w:pPr>
            <w:r>
              <w:rPr>
                <w:rFonts w:hint="eastAsia" w:ascii="仿宋_GB2312" w:eastAsia="仿宋_GB2312"/>
                <w:sz w:val="24"/>
              </w:rPr>
              <w:t>赵聪</w:t>
            </w:r>
          </w:p>
        </w:tc>
        <w:tc>
          <w:tcPr>
            <w:tcW w:w="722" w:type="dxa"/>
          </w:tcPr>
          <w:p w14:paraId="1F225136">
            <w:pPr>
              <w:spacing w:line="400" w:lineRule="exact"/>
              <w:jc w:val="center"/>
              <w:rPr>
                <w:rFonts w:ascii="仿宋_GB2312" w:eastAsia="仿宋_GB2312"/>
                <w:sz w:val="24"/>
              </w:rPr>
            </w:pPr>
            <w:r>
              <w:rPr>
                <w:rFonts w:ascii="仿宋_GB2312" w:eastAsia="仿宋_GB2312"/>
                <w:sz w:val="24"/>
              </w:rPr>
              <w:t>女</w:t>
            </w:r>
          </w:p>
        </w:tc>
        <w:tc>
          <w:tcPr>
            <w:tcW w:w="2602" w:type="dxa"/>
          </w:tcPr>
          <w:p w14:paraId="64EBCD3E">
            <w:pPr>
              <w:spacing w:line="400" w:lineRule="exact"/>
              <w:jc w:val="center"/>
              <w:rPr>
                <w:rFonts w:ascii="仿宋_GB2312" w:eastAsia="仿宋_GB2312"/>
                <w:sz w:val="24"/>
              </w:rPr>
            </w:pPr>
            <w:r>
              <w:rPr>
                <w:rFonts w:hint="eastAsia" w:ascii="仿宋_GB2312" w:eastAsia="仿宋_GB2312"/>
                <w:sz w:val="24"/>
              </w:rPr>
              <w:t>无/副研究员</w:t>
            </w:r>
          </w:p>
        </w:tc>
        <w:tc>
          <w:tcPr>
            <w:tcW w:w="1879" w:type="dxa"/>
          </w:tcPr>
          <w:p w14:paraId="0AD40606">
            <w:pPr>
              <w:spacing w:line="400" w:lineRule="exact"/>
              <w:jc w:val="center"/>
              <w:rPr>
                <w:rFonts w:ascii="仿宋_GB2312" w:eastAsia="仿宋_GB2312"/>
                <w:sz w:val="24"/>
              </w:rPr>
            </w:pPr>
            <w:r>
              <w:rPr>
                <w:rFonts w:hint="eastAsia" w:ascii="仿宋_GB2312" w:eastAsia="仿宋_GB2312"/>
                <w:sz w:val="24"/>
              </w:rPr>
              <w:t>山西农业大学</w:t>
            </w:r>
          </w:p>
        </w:tc>
        <w:tc>
          <w:tcPr>
            <w:tcW w:w="2630" w:type="dxa"/>
            <w:vAlign w:val="center"/>
          </w:tcPr>
          <w:p w14:paraId="0F911730">
            <w:pPr>
              <w:pStyle w:val="33"/>
              <w:ind w:left="0" w:leftChars="0"/>
              <w:jc w:val="center"/>
              <w:rPr>
                <w:rFonts w:ascii="仿宋_GB2312" w:hAnsi="Times New Roman"/>
                <w:sz w:val="24"/>
                <w:szCs w:val="24"/>
              </w:rPr>
            </w:pPr>
            <w:r>
              <w:rPr>
                <w:rFonts w:hint="eastAsia" w:ascii="仿宋_GB2312" w:hAnsi="Times New Roman"/>
                <w:sz w:val="24"/>
                <w:szCs w:val="24"/>
              </w:rPr>
              <w:t>标准推广</w:t>
            </w:r>
          </w:p>
        </w:tc>
      </w:tr>
      <w:tr w14:paraId="50EDB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23" w:type="dxa"/>
          </w:tcPr>
          <w:p w14:paraId="2B9CECA9">
            <w:pPr>
              <w:spacing w:line="400" w:lineRule="exact"/>
              <w:jc w:val="center"/>
              <w:rPr>
                <w:rFonts w:ascii="仿宋_GB2312" w:eastAsia="仿宋_GB2312"/>
                <w:sz w:val="24"/>
              </w:rPr>
            </w:pPr>
            <w:r>
              <w:rPr>
                <w:rFonts w:hint="eastAsia" w:ascii="仿宋_GB2312" w:eastAsia="仿宋_GB2312"/>
                <w:sz w:val="24"/>
              </w:rPr>
              <w:t>姜春霞</w:t>
            </w:r>
          </w:p>
        </w:tc>
        <w:tc>
          <w:tcPr>
            <w:tcW w:w="722" w:type="dxa"/>
          </w:tcPr>
          <w:p w14:paraId="25E1728E">
            <w:pPr>
              <w:spacing w:line="400" w:lineRule="exact"/>
              <w:jc w:val="center"/>
              <w:rPr>
                <w:rFonts w:ascii="仿宋_GB2312" w:eastAsia="仿宋_GB2312"/>
                <w:sz w:val="24"/>
              </w:rPr>
            </w:pPr>
            <w:r>
              <w:rPr>
                <w:rFonts w:ascii="仿宋_GB2312" w:eastAsia="仿宋_GB2312"/>
                <w:sz w:val="24"/>
              </w:rPr>
              <w:t>女</w:t>
            </w:r>
          </w:p>
        </w:tc>
        <w:tc>
          <w:tcPr>
            <w:tcW w:w="2602" w:type="dxa"/>
          </w:tcPr>
          <w:p w14:paraId="51B9E65A">
            <w:pPr>
              <w:spacing w:line="400" w:lineRule="exact"/>
              <w:jc w:val="center"/>
              <w:rPr>
                <w:rFonts w:ascii="仿宋_GB2312" w:eastAsia="仿宋_GB2312"/>
                <w:sz w:val="24"/>
              </w:rPr>
            </w:pPr>
            <w:r>
              <w:rPr>
                <w:rFonts w:hint="eastAsia" w:ascii="仿宋_GB2312" w:eastAsia="仿宋_GB2312"/>
                <w:sz w:val="24"/>
              </w:rPr>
              <w:t>无/副研究员</w:t>
            </w:r>
          </w:p>
        </w:tc>
        <w:tc>
          <w:tcPr>
            <w:tcW w:w="1879" w:type="dxa"/>
          </w:tcPr>
          <w:p w14:paraId="49BB1C51">
            <w:pPr>
              <w:spacing w:line="400" w:lineRule="exact"/>
              <w:jc w:val="center"/>
              <w:rPr>
                <w:rFonts w:ascii="仿宋_GB2312" w:eastAsia="仿宋_GB2312"/>
                <w:sz w:val="24"/>
              </w:rPr>
            </w:pPr>
            <w:r>
              <w:rPr>
                <w:rFonts w:hint="eastAsia" w:ascii="仿宋_GB2312" w:eastAsia="仿宋_GB2312"/>
                <w:sz w:val="24"/>
              </w:rPr>
              <w:t>山西农业大学</w:t>
            </w:r>
          </w:p>
        </w:tc>
        <w:tc>
          <w:tcPr>
            <w:tcW w:w="2630" w:type="dxa"/>
            <w:vAlign w:val="center"/>
          </w:tcPr>
          <w:p w14:paraId="7CE8F1EA">
            <w:pPr>
              <w:pStyle w:val="33"/>
              <w:ind w:left="0" w:leftChars="0"/>
              <w:jc w:val="center"/>
              <w:rPr>
                <w:rFonts w:ascii="仿宋_GB2312" w:hAnsi="Times New Roman"/>
                <w:sz w:val="24"/>
                <w:szCs w:val="24"/>
              </w:rPr>
            </w:pPr>
            <w:r>
              <w:rPr>
                <w:rFonts w:hint="eastAsia" w:ascii="仿宋_GB2312" w:hAnsi="Times New Roman"/>
                <w:sz w:val="24"/>
                <w:szCs w:val="24"/>
              </w:rPr>
              <w:t>标准推广</w:t>
            </w:r>
          </w:p>
        </w:tc>
      </w:tr>
      <w:tr w14:paraId="2D121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23" w:type="dxa"/>
          </w:tcPr>
          <w:p w14:paraId="586BD07A">
            <w:pPr>
              <w:spacing w:line="400" w:lineRule="exact"/>
              <w:jc w:val="center"/>
              <w:rPr>
                <w:rFonts w:ascii="仿宋_GB2312" w:eastAsia="仿宋_GB2312"/>
                <w:sz w:val="24"/>
              </w:rPr>
            </w:pPr>
            <w:r>
              <w:rPr>
                <w:rFonts w:hint="eastAsia" w:ascii="仿宋_GB2312" w:eastAsia="仿宋_GB2312"/>
                <w:sz w:val="24"/>
              </w:rPr>
              <w:t>陈琼</w:t>
            </w:r>
          </w:p>
        </w:tc>
        <w:tc>
          <w:tcPr>
            <w:tcW w:w="722" w:type="dxa"/>
          </w:tcPr>
          <w:p w14:paraId="3F49D34A">
            <w:pPr>
              <w:spacing w:line="400" w:lineRule="exact"/>
              <w:jc w:val="center"/>
              <w:rPr>
                <w:rFonts w:ascii="仿宋_GB2312" w:eastAsia="仿宋_GB2312"/>
                <w:sz w:val="24"/>
              </w:rPr>
            </w:pPr>
            <w:r>
              <w:rPr>
                <w:rFonts w:ascii="仿宋_GB2312" w:eastAsia="仿宋_GB2312"/>
                <w:sz w:val="24"/>
              </w:rPr>
              <w:t>女</w:t>
            </w:r>
          </w:p>
        </w:tc>
        <w:tc>
          <w:tcPr>
            <w:tcW w:w="2602" w:type="dxa"/>
          </w:tcPr>
          <w:p w14:paraId="395690AB">
            <w:pPr>
              <w:spacing w:line="400" w:lineRule="exact"/>
              <w:jc w:val="center"/>
              <w:rPr>
                <w:rFonts w:ascii="仿宋_GB2312" w:eastAsia="仿宋_GB2312"/>
                <w:sz w:val="24"/>
              </w:rPr>
            </w:pPr>
            <w:r>
              <w:rPr>
                <w:rFonts w:hint="eastAsia" w:ascii="仿宋_GB2312" w:eastAsia="仿宋_GB2312"/>
                <w:sz w:val="24"/>
              </w:rPr>
              <w:t>无/副研究员</w:t>
            </w:r>
          </w:p>
        </w:tc>
        <w:tc>
          <w:tcPr>
            <w:tcW w:w="1879" w:type="dxa"/>
          </w:tcPr>
          <w:p w14:paraId="363344FD">
            <w:pPr>
              <w:spacing w:line="400" w:lineRule="exact"/>
              <w:jc w:val="center"/>
              <w:rPr>
                <w:rFonts w:ascii="仿宋_GB2312" w:eastAsia="仿宋_GB2312"/>
                <w:sz w:val="24"/>
              </w:rPr>
            </w:pPr>
            <w:r>
              <w:rPr>
                <w:rFonts w:hint="eastAsia" w:ascii="仿宋_GB2312" w:eastAsia="仿宋_GB2312"/>
                <w:sz w:val="24"/>
              </w:rPr>
              <w:t>山西农业大学</w:t>
            </w:r>
          </w:p>
        </w:tc>
        <w:tc>
          <w:tcPr>
            <w:tcW w:w="2630" w:type="dxa"/>
            <w:vAlign w:val="center"/>
          </w:tcPr>
          <w:p w14:paraId="26E0B98E">
            <w:pPr>
              <w:pStyle w:val="33"/>
              <w:ind w:left="0" w:leftChars="0"/>
              <w:jc w:val="center"/>
              <w:rPr>
                <w:rFonts w:ascii="仿宋_GB2312" w:hAnsi="Times New Roman"/>
                <w:sz w:val="24"/>
                <w:szCs w:val="24"/>
              </w:rPr>
            </w:pPr>
            <w:r>
              <w:rPr>
                <w:rFonts w:hint="eastAsia" w:ascii="仿宋_GB2312" w:hAnsi="Times New Roman"/>
                <w:sz w:val="24"/>
                <w:szCs w:val="24"/>
              </w:rPr>
              <w:t>标准推广</w:t>
            </w:r>
          </w:p>
        </w:tc>
      </w:tr>
    </w:tbl>
    <w:p w14:paraId="1A499EF5">
      <w:pPr>
        <w:spacing w:line="360" w:lineRule="auto"/>
        <w:ind w:firstLine="480" w:firstLineChars="200"/>
        <w:outlineLvl w:val="0"/>
        <w:rPr>
          <w:rFonts w:ascii="楷体" w:hAnsi="楷体" w:eastAsia="楷体" w:cs="Courier New"/>
          <w:sz w:val="28"/>
          <w:szCs w:val="28"/>
        </w:rPr>
      </w:pPr>
      <w:r>
        <w:rPr>
          <w:rFonts w:ascii="黑体" w:eastAsia="黑体"/>
          <w:sz w:val="24"/>
        </w:rPr>
        <w:t>二、</w:t>
      </w:r>
      <w:r>
        <w:rPr>
          <w:rFonts w:hint="eastAsia" w:ascii="黑体" w:eastAsia="黑体"/>
          <w:sz w:val="24"/>
        </w:rPr>
        <w:t>修</w:t>
      </w:r>
      <w:r>
        <w:rPr>
          <w:rFonts w:ascii="黑体" w:eastAsia="黑体"/>
          <w:sz w:val="24"/>
        </w:rPr>
        <w:t>订标准的必要性和意义</w:t>
      </w:r>
    </w:p>
    <w:p w14:paraId="7F2E05DA">
      <w:pPr>
        <w:spacing w:line="360" w:lineRule="auto"/>
        <w:ind w:firstLine="480" w:firstLineChars="200"/>
        <w:rPr>
          <w:rFonts w:ascii="仿宋_GB2312" w:hAnsi="仿宋" w:eastAsia="仿宋_GB2312"/>
          <w:sz w:val="24"/>
        </w:rPr>
      </w:pPr>
      <w:r>
        <w:rPr>
          <w:rFonts w:hint="eastAsia" w:ascii="仿宋_GB2312" w:hAnsi="仿宋" w:eastAsia="仿宋_GB2312"/>
          <w:sz w:val="24"/>
        </w:rPr>
        <w:t>山西冷凉区春季低温、干旱，菜豆存在播种难、出苗难、保苗难等问题。以往菜豆生产中主要采用春季地膜平覆机械直播方式，由于受干旱低温等因素影响，出苗率仅为70%左右，导致自然降水利用率低、产量低、经济效益差。山西省地方标准《冷凉区旱地菜豆播种保苗技术规程》DB14/T 786对冷凉区旱地菜豆播种、保苗等技术事项做出了规定，于2013年12月20日开始实施。通过本标准实施，冷凉区菜豆出苗率由原来的69.8%提高到82.6%，提高了18.3%；大田空穴率由原来的7.1%降低到4.1%，降幅为73.1%，产量相应增加了18.3%-26.3%，菜豆已成为冷凉区农民收入的主要来源，有效解决了由于干旱和积温不足一直存在的农作物产量低、农民增收难的问题。</w:t>
      </w:r>
    </w:p>
    <w:p w14:paraId="58E9DE03">
      <w:pPr>
        <w:spacing w:line="360" w:lineRule="auto"/>
        <w:ind w:firstLine="480" w:firstLineChars="200"/>
        <w:rPr>
          <w:rFonts w:ascii="仿宋_GB2312" w:hAnsi="仿宋" w:eastAsia="仿宋_GB2312"/>
          <w:sz w:val="24"/>
        </w:rPr>
      </w:pPr>
      <w:r>
        <w:rPr>
          <w:rFonts w:hint="eastAsia" w:ascii="仿宋_GB2312" w:hAnsi="仿宋" w:eastAsia="仿宋_GB2312"/>
          <w:sz w:val="24"/>
        </w:rPr>
        <w:t>国家市场监督管理总局和国家标准化管理委员于2020年3月31日批准发布了GB/T 1.1—2020 《标准化工作导则第1部分：标准化文件的结构和起草规则》新版标准。并于2020年10月1日实施。与GB/T 1.1-2009相比，确立了标准化文件的结构及其起草的总体原则和要求，并规定了文件名称、层次、要素的编写和表述规则以及文件的编排格式等。因此，原标准的表述和编排格式等需要修订。且随着农业生产的发展和生产实践的检验，原标准也存在一定的滞后性和需要优化提升的内容，主要有：一是原引用的国家和行业标准有了新规定需更新；二是对原规程中引用关系不密切的标准可进行优化；三是原规程中的有些条款名称和范围需调整，描述需简化。因此，十分有必要修订原标准，以更有成效地推进冷凉区菜豆标准化、规范化生产，这也是当前我省菜豆产业发展的迫切要求。同时，标准的修订和实施也有利于健全和完善有机旱作农业标准体系构建，对我省农业绿色高质量生产意义重大。</w:t>
      </w:r>
    </w:p>
    <w:p w14:paraId="65096706">
      <w:pPr>
        <w:spacing w:line="360" w:lineRule="auto"/>
        <w:ind w:firstLine="480" w:firstLineChars="200"/>
        <w:outlineLvl w:val="0"/>
        <w:rPr>
          <w:rFonts w:ascii="黑体" w:eastAsia="黑体"/>
          <w:sz w:val="24"/>
        </w:rPr>
      </w:pPr>
      <w:r>
        <w:rPr>
          <w:rFonts w:ascii="黑体" w:eastAsia="黑体"/>
          <w:sz w:val="24"/>
        </w:rPr>
        <w:t>三、主要</w:t>
      </w:r>
      <w:r>
        <w:rPr>
          <w:rFonts w:hint="eastAsia" w:ascii="黑体" w:eastAsia="黑体"/>
          <w:sz w:val="24"/>
        </w:rPr>
        <w:t>修订</w:t>
      </w:r>
      <w:r>
        <w:rPr>
          <w:rFonts w:ascii="黑体" w:eastAsia="黑体"/>
          <w:sz w:val="24"/>
        </w:rPr>
        <w:t>工作过程</w:t>
      </w:r>
    </w:p>
    <w:p w14:paraId="6BF9678F">
      <w:pPr>
        <w:spacing w:line="360" w:lineRule="auto"/>
        <w:ind w:firstLine="480" w:firstLineChars="200"/>
        <w:rPr>
          <w:rFonts w:eastAsia="仿宋_GB2312"/>
          <w:bCs/>
          <w:sz w:val="24"/>
        </w:rPr>
      </w:pPr>
      <w:r>
        <w:rPr>
          <w:rFonts w:hint="eastAsia" w:eastAsia="仿宋_GB2312"/>
          <w:bCs/>
          <w:sz w:val="24"/>
        </w:rPr>
        <w:t>1、成立标准修订工作组</w:t>
      </w:r>
    </w:p>
    <w:p w14:paraId="7780B8E9">
      <w:pPr>
        <w:spacing w:line="360" w:lineRule="auto"/>
        <w:ind w:firstLine="480" w:firstLineChars="200"/>
        <w:rPr>
          <w:rFonts w:eastAsia="仿宋_GB2312"/>
          <w:bCs/>
          <w:sz w:val="24"/>
        </w:rPr>
      </w:pPr>
      <w:r>
        <w:rPr>
          <w:rFonts w:hint="eastAsia" w:eastAsia="仿宋_GB2312"/>
          <w:bCs/>
          <w:sz w:val="24"/>
        </w:rPr>
        <w:t>标准修订任务下达后，通过认真学习领会文件精神，按要求成立了标准修订项目组，明确了主持人，并对项目组成员进行了分工，有序开展标准修订工作。同时认真学习了山西省农业标准化技术委员会组织开展的农业地方标准专题技术培训，查阅了现行有关国家、行业和地方标准资料，明确了编制标准的结构和编写内容，标准修订程序以及有关细节要求。</w:t>
      </w:r>
    </w:p>
    <w:p w14:paraId="648AE9D0">
      <w:pPr>
        <w:spacing w:line="360" w:lineRule="auto"/>
        <w:ind w:firstLine="480" w:firstLineChars="200"/>
        <w:rPr>
          <w:rFonts w:eastAsia="仿宋_GB2312"/>
          <w:bCs/>
          <w:sz w:val="24"/>
        </w:rPr>
      </w:pPr>
      <w:r>
        <w:rPr>
          <w:rFonts w:hint="eastAsia" w:eastAsia="仿宋_GB2312"/>
          <w:bCs/>
          <w:sz w:val="24"/>
        </w:rPr>
        <w:t>2、调研考察</w:t>
      </w:r>
    </w:p>
    <w:p w14:paraId="58E24F78">
      <w:pPr>
        <w:spacing w:line="360" w:lineRule="auto"/>
        <w:ind w:firstLine="480" w:firstLineChars="200"/>
        <w:rPr>
          <w:rFonts w:eastAsia="仿宋_GB2312"/>
          <w:bCs/>
          <w:sz w:val="24"/>
        </w:rPr>
      </w:pPr>
      <w:r>
        <w:rPr>
          <w:rFonts w:hint="eastAsia" w:eastAsia="仿宋_GB2312"/>
          <w:bCs/>
          <w:sz w:val="24"/>
        </w:rPr>
        <w:t>起草工作组进一步了解了山西省冷凉区的气候生态特点和生产条件，调研了该区旱地菜豆播种方式、机具、育苗技术、移栽保苗技术、出苗率以及产量等生产现状。</w:t>
      </w:r>
    </w:p>
    <w:p w14:paraId="76D59CCA">
      <w:pPr>
        <w:spacing w:line="360" w:lineRule="auto"/>
        <w:ind w:firstLine="480" w:firstLineChars="200"/>
        <w:rPr>
          <w:rFonts w:eastAsia="仿宋_GB2312"/>
          <w:bCs/>
          <w:sz w:val="24"/>
        </w:rPr>
      </w:pPr>
      <w:r>
        <w:rPr>
          <w:rFonts w:hint="eastAsia" w:eastAsia="仿宋_GB2312"/>
          <w:bCs/>
          <w:sz w:val="24"/>
        </w:rPr>
        <w:t>3、收集资料</w:t>
      </w:r>
    </w:p>
    <w:p w14:paraId="40D5843F">
      <w:pPr>
        <w:spacing w:line="360" w:lineRule="auto"/>
        <w:ind w:firstLine="480" w:firstLineChars="200"/>
        <w:jc w:val="left"/>
        <w:rPr>
          <w:rFonts w:ascii="仿宋_GB2312" w:hAnsi="宋体" w:eastAsia="仿宋_GB2312"/>
          <w:sz w:val="24"/>
        </w:rPr>
      </w:pPr>
      <w:r>
        <w:rPr>
          <w:rFonts w:hint="eastAsia" w:eastAsia="仿宋_GB2312"/>
          <w:bCs/>
          <w:sz w:val="24"/>
        </w:rPr>
        <w:t>全面收集山西省冷凉区菜豆播种保苗技术相关资料，并广泛查阅国内外有关标准和技术资料；广泛听取相关部门的意见和建议，收集各方信息及征求意见建议，取得共识，达成一致性意见，为标准的修订打下坚实的基础。</w:t>
      </w:r>
    </w:p>
    <w:p w14:paraId="133E52F8">
      <w:pPr>
        <w:spacing w:line="360" w:lineRule="auto"/>
        <w:ind w:firstLine="480" w:firstLineChars="200"/>
        <w:rPr>
          <w:rFonts w:eastAsia="仿宋_GB2312"/>
          <w:bCs/>
          <w:sz w:val="24"/>
        </w:rPr>
      </w:pPr>
      <w:r>
        <w:rPr>
          <w:rFonts w:hint="eastAsia" w:eastAsia="仿宋_GB2312"/>
          <w:bCs/>
          <w:sz w:val="24"/>
        </w:rPr>
        <w:t>4、修订文本</w:t>
      </w:r>
    </w:p>
    <w:p w14:paraId="41113710">
      <w:pPr>
        <w:spacing w:line="360" w:lineRule="auto"/>
        <w:ind w:firstLine="480" w:firstLineChars="200"/>
        <w:rPr>
          <w:rFonts w:eastAsia="仿宋_GB2312"/>
          <w:bCs/>
          <w:sz w:val="24"/>
        </w:rPr>
      </w:pPr>
      <w:r>
        <w:rPr>
          <w:rFonts w:hint="eastAsia" w:eastAsia="仿宋_GB2312"/>
          <w:bCs/>
          <w:sz w:val="24"/>
        </w:rPr>
        <w:t>标准起草工作组认真整理总结了多年的研究结果，查阅相关资料，结合生产实践和农户意见，认真对修订的标准进行修改，形成草稿，上报山西省市场监督管理局同时，发往相关生产企业及专家征求意见，最终形成征求意见稿。</w:t>
      </w:r>
    </w:p>
    <w:p w14:paraId="0D045CE4">
      <w:pPr>
        <w:spacing w:line="360" w:lineRule="auto"/>
        <w:ind w:firstLine="480" w:firstLineChars="200"/>
        <w:rPr>
          <w:rFonts w:eastAsia="仿宋_GB2312"/>
          <w:bCs/>
          <w:sz w:val="24"/>
        </w:rPr>
      </w:pPr>
      <w:r>
        <w:rPr>
          <w:rFonts w:hint="eastAsia" w:eastAsia="仿宋_GB2312"/>
          <w:bCs/>
          <w:sz w:val="24"/>
        </w:rPr>
        <w:t>5、技术评审</w:t>
      </w:r>
    </w:p>
    <w:p w14:paraId="2A5561E2">
      <w:pPr>
        <w:spacing w:line="360" w:lineRule="auto"/>
        <w:ind w:firstLine="480" w:firstLineChars="200"/>
        <w:rPr>
          <w:rFonts w:eastAsia="仿宋_GB2312"/>
          <w:bCs/>
          <w:sz w:val="24"/>
        </w:rPr>
      </w:pPr>
      <w:r>
        <w:rPr>
          <w:rFonts w:hint="eastAsia" w:eastAsia="仿宋_GB2312"/>
          <w:bCs/>
          <w:sz w:val="24"/>
        </w:rPr>
        <w:t>2024年10月18日山西省地方标准（农业）立项评审会组织专家对编制说明和标准修订稿进行了技术评审，工作组按照专家组意见修改完善了规程的框架、结构及内容，规范了编制说明文本格式和文字表述，形成标准送审稿。</w:t>
      </w:r>
    </w:p>
    <w:p w14:paraId="1E0E460E">
      <w:pPr>
        <w:numPr>
          <w:ilvl w:val="0"/>
          <w:numId w:val="3"/>
        </w:numPr>
        <w:spacing w:line="360" w:lineRule="auto"/>
        <w:ind w:firstLine="480" w:firstLineChars="200"/>
        <w:rPr>
          <w:rFonts w:eastAsia="仿宋_GB2312"/>
          <w:bCs/>
          <w:sz w:val="24"/>
        </w:rPr>
      </w:pPr>
      <w:r>
        <w:rPr>
          <w:rFonts w:hint="eastAsia" w:eastAsia="仿宋_GB2312"/>
          <w:bCs/>
          <w:sz w:val="24"/>
        </w:rPr>
        <w:t>征求意见</w:t>
      </w:r>
    </w:p>
    <w:p w14:paraId="0FC7DD8B">
      <w:pPr>
        <w:spacing w:line="360" w:lineRule="auto"/>
        <w:rPr>
          <w:rFonts w:eastAsia="仿宋_GB2312"/>
          <w:bCs/>
          <w:sz w:val="24"/>
        </w:rPr>
      </w:pPr>
      <w:r>
        <w:rPr>
          <w:rFonts w:hint="eastAsia" w:eastAsia="仿宋_GB2312"/>
          <w:bCs/>
          <w:sz w:val="24"/>
        </w:rPr>
        <w:t xml:space="preserve">   （报省市场监督管理局挂网向社会公开征求意见1个月。）</w:t>
      </w:r>
    </w:p>
    <w:p w14:paraId="18513BCE">
      <w:pPr>
        <w:numPr>
          <w:ilvl w:val="0"/>
          <w:numId w:val="3"/>
        </w:numPr>
        <w:spacing w:line="360" w:lineRule="auto"/>
        <w:ind w:firstLine="480" w:firstLineChars="200"/>
        <w:rPr>
          <w:rFonts w:eastAsia="仿宋_GB2312"/>
          <w:bCs/>
          <w:sz w:val="24"/>
        </w:rPr>
      </w:pPr>
      <w:r>
        <w:rPr>
          <w:rFonts w:hint="eastAsia" w:eastAsia="仿宋_GB2312"/>
          <w:bCs/>
          <w:sz w:val="24"/>
        </w:rPr>
        <w:t>完善文本</w:t>
      </w:r>
    </w:p>
    <w:p w14:paraId="2EEA9C97">
      <w:pPr>
        <w:spacing w:line="360" w:lineRule="auto"/>
        <w:ind w:firstLine="480" w:firstLineChars="200"/>
        <w:rPr>
          <w:rFonts w:eastAsia="仿宋_GB2312"/>
          <w:bCs/>
          <w:sz w:val="24"/>
        </w:rPr>
      </w:pPr>
      <w:r>
        <w:rPr>
          <w:rFonts w:hint="eastAsia" w:eastAsia="仿宋_GB2312"/>
          <w:bCs/>
          <w:sz w:val="24"/>
        </w:rPr>
        <w:t>（收到反馈意见后，标准修订工作组将对意见逐条进行分析研究，对不采纳的意见会说明不采纳的原因，必要时还会进一步进行试验验证，在此基础上，进一步修改完善后形成标准送审稿，标委会表决...... ）</w:t>
      </w:r>
    </w:p>
    <w:p w14:paraId="1D45B42B">
      <w:pPr>
        <w:numPr>
          <w:ilvl w:val="0"/>
          <w:numId w:val="3"/>
        </w:numPr>
        <w:spacing w:line="360" w:lineRule="auto"/>
        <w:ind w:firstLine="480" w:firstLineChars="200"/>
        <w:rPr>
          <w:rFonts w:eastAsia="仿宋_GB2312"/>
          <w:bCs/>
          <w:sz w:val="24"/>
        </w:rPr>
      </w:pPr>
      <w:r>
        <w:rPr>
          <w:rFonts w:hint="eastAsia" w:eastAsia="仿宋_GB2312"/>
          <w:bCs/>
          <w:sz w:val="24"/>
        </w:rPr>
        <w:t>形成报批稿、提交报批材料......</w:t>
      </w:r>
    </w:p>
    <w:p w14:paraId="04F4D73F">
      <w:pPr>
        <w:spacing w:line="360" w:lineRule="auto"/>
        <w:ind w:firstLine="480" w:firstLineChars="200"/>
        <w:rPr>
          <w:rFonts w:eastAsia="仿宋_GB2312"/>
          <w:bCs/>
          <w:sz w:val="24"/>
        </w:rPr>
      </w:pPr>
      <w:r>
        <w:rPr>
          <w:rFonts w:hint="eastAsia" w:eastAsia="仿宋_GB2312"/>
          <w:bCs/>
          <w:sz w:val="24"/>
        </w:rPr>
        <w:t>（</w:t>
      </w:r>
      <w:r>
        <w:rPr>
          <w:rFonts w:hint="eastAsia" w:eastAsia="仿宋_GB2312"/>
          <w:bCs/>
          <w:sz w:val="24"/>
          <w:lang w:val="en-US" w:eastAsia="zh-CN"/>
        </w:rPr>
        <w:t>山</w:t>
      </w:r>
      <w:r>
        <w:rPr>
          <w:rFonts w:hint="eastAsia" w:eastAsia="仿宋_GB2312"/>
          <w:bCs/>
          <w:sz w:val="24"/>
        </w:rPr>
        <w:t>西省地方标准（农业）立项评审会组织专家对标准送审稿和编制说明进行技术审查，标准修订工作组根据技术审查意见对标准草案、编制说明等材料进行修改完善，并将地方标准草案、编制说明、技术审查意见等报批材料提交山西省市场监督管理局和山西省专业标准化技术委员会。）</w:t>
      </w:r>
    </w:p>
    <w:p w14:paraId="702AD8D3">
      <w:pPr>
        <w:spacing w:line="360" w:lineRule="auto"/>
        <w:ind w:firstLine="480" w:firstLineChars="200"/>
        <w:outlineLvl w:val="0"/>
        <w:rPr>
          <w:rFonts w:ascii="黑体" w:eastAsia="黑体"/>
          <w:sz w:val="24"/>
        </w:rPr>
      </w:pPr>
      <w:r>
        <w:rPr>
          <w:rFonts w:hint="eastAsia" w:ascii="黑体" w:eastAsia="黑体"/>
          <w:sz w:val="24"/>
        </w:rPr>
        <w:t>四</w:t>
      </w:r>
      <w:r>
        <w:rPr>
          <w:rFonts w:ascii="黑体" w:eastAsia="黑体"/>
          <w:sz w:val="24"/>
        </w:rPr>
        <w:t>、</w:t>
      </w:r>
      <w:r>
        <w:rPr>
          <w:rFonts w:hint="eastAsia" w:ascii="黑体" w:eastAsia="黑体"/>
          <w:sz w:val="24"/>
        </w:rPr>
        <w:t>修订</w:t>
      </w:r>
      <w:r>
        <w:rPr>
          <w:rFonts w:ascii="黑体" w:eastAsia="黑体"/>
          <w:sz w:val="24"/>
        </w:rPr>
        <w:t>标准的原则和依据，与现行法律、法规、标准的关系</w:t>
      </w:r>
    </w:p>
    <w:p w14:paraId="1F0808D3">
      <w:pPr>
        <w:spacing w:line="360" w:lineRule="auto"/>
        <w:ind w:firstLine="480" w:firstLineChars="200"/>
        <w:rPr>
          <w:rFonts w:eastAsia="仿宋_GB2312"/>
          <w:bCs/>
          <w:sz w:val="24"/>
        </w:rPr>
      </w:pPr>
      <w:r>
        <w:rPr>
          <w:rFonts w:hint="eastAsia" w:eastAsia="仿宋_GB2312"/>
          <w:bCs/>
          <w:sz w:val="24"/>
        </w:rPr>
        <w:t>本标准在编制过程中遵循科学、合理、可行的原则，力求做到科学规范。遵从国家法律法规和有关国标、行标规定，严格执行强制性国家标准和行业标准，与同体系标准及相关的各种基础标准相衔接，坚持安全生产、绿色生产的原则，力求先进性和实用性相统一，严格遵循国家有关方针、政策、法规和规章。本标准按照GB/T 1.1-2020《标准化工作导则 第1部分：标准化文件的结构和起草规则》的规定起草。编写力求做到文字表达简练、准确、易懂；技术内容叙述正确无误；方法过程叙述清楚可行；标准内容严谨合理，结构编排合乎规范。</w:t>
      </w:r>
    </w:p>
    <w:p w14:paraId="701BBBDA">
      <w:pPr>
        <w:spacing w:line="360" w:lineRule="auto"/>
        <w:ind w:firstLine="480" w:firstLineChars="200"/>
        <w:rPr>
          <w:rFonts w:eastAsia="仿宋_GB2312"/>
          <w:bCs/>
          <w:sz w:val="24"/>
        </w:rPr>
      </w:pPr>
      <w:r>
        <w:rPr>
          <w:rFonts w:hint="eastAsia" w:eastAsia="仿宋_GB2312"/>
          <w:bCs/>
          <w:sz w:val="24"/>
        </w:rPr>
        <w:t>本标准以山西省冷凉区菜豆为研究对象，规定了产地环境、整地施肥、播种、保苗和病虫害防治等技术环节。在标准具体指标编制过程中，坚持从山西省冷凉区菜豆生产实际出发，以“降低劳动强度、提高劳动效率、减少生产成本、增加农民收入”为切入点，坚持先进性、科学性、准确性、实用性和可操作性的原则，力求轻简化，并符合当前菜豆生产水平的要求。</w:t>
      </w:r>
    </w:p>
    <w:p w14:paraId="62C424FA">
      <w:pPr>
        <w:spacing w:line="360" w:lineRule="auto"/>
        <w:ind w:firstLine="480" w:firstLineChars="200"/>
        <w:rPr>
          <w:rFonts w:eastAsia="仿宋_GB2312"/>
          <w:bCs/>
          <w:sz w:val="24"/>
        </w:rPr>
      </w:pPr>
      <w:r>
        <w:rPr>
          <w:rFonts w:hint="eastAsia" w:eastAsia="仿宋_GB2312"/>
          <w:bCs/>
          <w:sz w:val="24"/>
        </w:rPr>
        <w:t>本标准技术指标及参数主要来源于公益性行业（农业）科研专项经费项目“长城沿线坡耕地抗旱补水播种保苗综合技术研究与示范（201003053）”、山西省重点研发计划重点项目“山西有机旱作农业关键技术研究与示范（201703D211002）”。冷凉区菜豆播种保苗技术规程是项目的部分研究内容，也是“有机旱作农业关键技术研究与集成应用”山西省科技进步一等奖的创新成果之一。本标准的主要技术指标、参数以团队近10年研究成果与调研数据为主要依据，并结合山西省菜豆生产实际情况，使标准具有严密的科学性和较强的可操作性。</w:t>
      </w:r>
    </w:p>
    <w:p w14:paraId="6A0B8FF1">
      <w:pPr>
        <w:spacing w:line="360" w:lineRule="auto"/>
        <w:ind w:firstLine="480" w:firstLineChars="200"/>
        <w:rPr>
          <w:rFonts w:eastAsia="仿宋_GB2312"/>
          <w:bCs/>
          <w:sz w:val="24"/>
        </w:rPr>
      </w:pPr>
      <w:r>
        <w:rPr>
          <w:rFonts w:hint="eastAsia" w:eastAsia="仿宋_GB2312"/>
          <w:bCs/>
          <w:sz w:val="24"/>
        </w:rPr>
        <w:t>本标准的修订引用了部分现行的国家和行业标准，如GB/T 8321（所有部分） 农药合理使用准则、GB 13735 聚乙烯吹塑农用地面覆盖薄膜、GB/T 35795 全生物降解农用地面覆盖薄膜、NY/T 1143 播种机质量评价技术规范、NY/T 2619 瓜菜作物种子 豆类(菜豆、长豇豆、豌豆)等。</w:t>
      </w:r>
    </w:p>
    <w:p w14:paraId="42EA1BCC">
      <w:pPr>
        <w:spacing w:line="360" w:lineRule="auto"/>
        <w:ind w:firstLine="480" w:firstLineChars="200"/>
        <w:rPr>
          <w:rFonts w:eastAsia="仿宋_GB2312"/>
          <w:bCs/>
          <w:sz w:val="24"/>
        </w:rPr>
      </w:pPr>
      <w:r>
        <w:rPr>
          <w:rFonts w:hint="eastAsia" w:eastAsia="仿宋_GB2312"/>
          <w:bCs/>
          <w:sz w:val="24"/>
        </w:rPr>
        <w:t>该项标准与现行法律、法规及标准协调一致，没有冲突。</w:t>
      </w:r>
    </w:p>
    <w:p w14:paraId="52E94BB5">
      <w:pPr>
        <w:spacing w:line="360" w:lineRule="auto"/>
        <w:ind w:firstLine="480" w:firstLineChars="200"/>
        <w:outlineLvl w:val="0"/>
        <w:rPr>
          <w:rFonts w:ascii="黑体" w:eastAsia="黑体"/>
          <w:sz w:val="24"/>
        </w:rPr>
      </w:pPr>
      <w:r>
        <w:rPr>
          <w:rFonts w:hint="eastAsia" w:ascii="黑体" w:eastAsia="黑体"/>
          <w:sz w:val="24"/>
        </w:rPr>
        <w:t>五</w:t>
      </w:r>
      <w:r>
        <w:rPr>
          <w:rFonts w:ascii="黑体" w:eastAsia="黑体"/>
          <w:sz w:val="24"/>
        </w:rPr>
        <w:t>、主要条款的说明，主要技术指标、参数、试验验证的分析、综合论述</w:t>
      </w:r>
    </w:p>
    <w:p w14:paraId="7E0EF1EA">
      <w:pPr>
        <w:spacing w:line="400" w:lineRule="exact"/>
        <w:ind w:firstLine="480" w:firstLineChars="200"/>
        <w:rPr>
          <w:rFonts w:eastAsia="仿宋_GB2312"/>
          <w:bCs/>
          <w:sz w:val="24"/>
        </w:rPr>
      </w:pPr>
      <w:r>
        <w:rPr>
          <w:rFonts w:hint="eastAsia" w:eastAsia="仿宋_GB2312"/>
          <w:bCs/>
          <w:sz w:val="24"/>
        </w:rPr>
        <w:t>标准起草组以“合法性、安全性、适应性、协调性和先进性”为修订原则，以文本结构更加合理、表述更加准确、技术指标更加科学为修订目标，从3个方面对文本进行了修订，其中：</w:t>
      </w:r>
    </w:p>
    <w:p w14:paraId="3BD05325">
      <w:pPr>
        <w:spacing w:line="400" w:lineRule="exact"/>
        <w:ind w:firstLine="480" w:firstLineChars="200"/>
        <w:rPr>
          <w:rFonts w:eastAsia="仿宋_GB2312"/>
          <w:bCs/>
          <w:sz w:val="24"/>
        </w:rPr>
      </w:pPr>
      <w:r>
        <w:rPr>
          <w:rFonts w:hint="eastAsia" w:eastAsia="仿宋_GB2312"/>
          <w:bCs/>
          <w:sz w:val="24"/>
        </w:rPr>
        <w:t>1、涉及结构性调整的主要有2项：</w:t>
      </w:r>
    </w:p>
    <w:p w14:paraId="3A706129">
      <w:pPr>
        <w:spacing w:line="400" w:lineRule="exact"/>
        <w:ind w:firstLine="480" w:firstLineChars="200"/>
        <w:rPr>
          <w:rFonts w:eastAsia="仿宋_GB2312"/>
          <w:bCs/>
          <w:sz w:val="24"/>
        </w:rPr>
      </w:pPr>
      <w:r>
        <w:rPr>
          <w:rFonts w:hint="eastAsia" w:eastAsia="仿宋_GB2312"/>
          <w:bCs/>
          <w:sz w:val="24"/>
        </w:rPr>
        <w:t>（1）更改了“播前准备”和“播种”，修改为“产地环境”、“整地施肥”和“播种”。修订原因：原标准结构较为繁琐，修改后结构更加清晰、逻辑更为紧密。</w:t>
      </w:r>
    </w:p>
    <w:p w14:paraId="7A5167D3">
      <w:pPr>
        <w:spacing w:line="400" w:lineRule="exact"/>
        <w:ind w:firstLine="480" w:firstLineChars="200"/>
        <w:rPr>
          <w:rFonts w:eastAsia="仿宋_GB2312"/>
          <w:bCs/>
          <w:sz w:val="24"/>
        </w:rPr>
      </w:pPr>
      <w:r>
        <w:rPr>
          <w:rFonts w:hint="eastAsia" w:eastAsia="仿宋_GB2312"/>
          <w:bCs/>
          <w:sz w:val="24"/>
        </w:rPr>
        <w:t>（2）增加了“档案管理”。修订原因：原标准没有档案管理，现行规定农产品生产须建立档案。</w:t>
      </w:r>
    </w:p>
    <w:p w14:paraId="31177032">
      <w:pPr>
        <w:spacing w:line="360" w:lineRule="auto"/>
        <w:ind w:firstLine="480" w:firstLineChars="200"/>
        <w:rPr>
          <w:rFonts w:eastAsia="仿宋_GB2312"/>
          <w:bCs/>
          <w:sz w:val="24"/>
        </w:rPr>
      </w:pPr>
      <w:r>
        <w:rPr>
          <w:rFonts w:hint="eastAsia" w:eastAsia="仿宋_GB2312"/>
          <w:bCs/>
          <w:sz w:val="24"/>
        </w:rPr>
        <w:t>2、涉及表述与编辑性修改的主要有8项：</w:t>
      </w:r>
    </w:p>
    <w:p w14:paraId="20B031CF">
      <w:pPr>
        <w:spacing w:line="360" w:lineRule="auto"/>
        <w:ind w:firstLine="480" w:firstLineChars="200"/>
        <w:rPr>
          <w:rFonts w:eastAsia="仿宋_GB2312"/>
          <w:bCs/>
          <w:sz w:val="24"/>
        </w:rPr>
      </w:pPr>
      <w:r>
        <w:rPr>
          <w:rFonts w:hint="eastAsia" w:eastAsia="仿宋_GB2312"/>
          <w:bCs/>
          <w:sz w:val="24"/>
        </w:rPr>
        <w:t>（1）更改了标准名称，将标准名称《冷凉区旱地菜豆播种保苗技术规程》修改为《冷凉区菜豆播种保苗技术规程》。修订原因：修改后标准普适性更强。</w:t>
      </w:r>
    </w:p>
    <w:p w14:paraId="4C403AB3">
      <w:pPr>
        <w:spacing w:line="360" w:lineRule="auto"/>
        <w:ind w:firstLine="480" w:firstLineChars="200"/>
        <w:rPr>
          <w:rFonts w:eastAsia="仿宋_GB2312"/>
          <w:bCs/>
          <w:sz w:val="24"/>
        </w:rPr>
      </w:pPr>
      <w:r>
        <w:rPr>
          <w:rFonts w:hint="eastAsia" w:eastAsia="仿宋_GB2312"/>
          <w:bCs/>
          <w:sz w:val="24"/>
        </w:rPr>
        <w:t>（2）更改了标准起草单位，将“山西省农业科学院旱地农业研究中心”修改为“山西农业大学”。修订原因：2019年10月，山西农业大学与山西省农业科学院合署，山西省农业科学院旱地农业研究中心更名为山西农业大学山西有机旱作农业研究院，为山西农业大学二级单位。</w:t>
      </w:r>
    </w:p>
    <w:p w14:paraId="43CD86C0">
      <w:pPr>
        <w:spacing w:line="360" w:lineRule="auto"/>
        <w:ind w:firstLine="480" w:firstLineChars="200"/>
        <w:rPr>
          <w:rFonts w:eastAsia="仿宋_GB2312"/>
          <w:bCs/>
          <w:sz w:val="24"/>
        </w:rPr>
      </w:pPr>
      <w:r>
        <w:rPr>
          <w:rFonts w:hint="eastAsia" w:eastAsia="仿宋_GB2312"/>
          <w:bCs/>
          <w:sz w:val="24"/>
        </w:rPr>
        <w:t>（3）更改了标准主要起草人，将“黄明镜、刘化涛、黄学芳、王娟玲、张伟、韩彦龙、张冬梅、刘恩科、赵聪、姜春霞、陈琼”修改为“孔猛、黄明镜、张冬梅、李洁、刘化涛、黄学芳、王娟玲、张伟、刘恩科”。修订原因：孔猛在本标准颁布后，主要负责了标准的示范推广工作、试点建立和反馈意见收集，全面负责标准的整个修订过程，包括文本撰写、编制说明、申报资料等，并开展了田间试验验证了全生物降解地膜替代聚乙烯地膜的效果；李洁参与了标准的修订工作，因此将增加孔猛作为标准第一起草人，增加李洁为标准主要起草人。</w:t>
      </w:r>
    </w:p>
    <w:p w14:paraId="008E3663">
      <w:pPr>
        <w:spacing w:line="360" w:lineRule="auto"/>
        <w:ind w:firstLine="480" w:firstLineChars="200"/>
        <w:rPr>
          <w:rFonts w:eastAsia="仿宋_GB2312"/>
          <w:bCs/>
          <w:sz w:val="24"/>
        </w:rPr>
      </w:pPr>
      <w:r>
        <w:rPr>
          <w:rFonts w:hint="eastAsia" w:eastAsia="仿宋_GB2312"/>
          <w:bCs/>
          <w:sz w:val="24"/>
        </w:rPr>
        <w:t>（4）删除了1个规范性引用文件“NY/T 5081”。修订原因：本技术规程中没有涉及到无公害食品相关内容。</w:t>
      </w:r>
    </w:p>
    <w:p w14:paraId="2784ADAF">
      <w:pPr>
        <w:spacing w:line="360" w:lineRule="auto"/>
        <w:ind w:firstLine="480" w:firstLineChars="200"/>
        <w:rPr>
          <w:rFonts w:eastAsia="仿宋_GB2312"/>
          <w:bCs/>
          <w:sz w:val="24"/>
        </w:rPr>
      </w:pPr>
      <w:r>
        <w:rPr>
          <w:rFonts w:hint="eastAsia" w:eastAsia="仿宋_GB2312"/>
          <w:bCs/>
          <w:sz w:val="24"/>
        </w:rPr>
        <w:t>（5）增加了5个规范性引用文件，分别为“GB/T 8321 (所有部分)”、“</w:t>
      </w:r>
      <w:r>
        <w:rPr>
          <w:rFonts w:eastAsia="仿宋_GB2312"/>
          <w:bCs/>
          <w:sz w:val="24"/>
        </w:rPr>
        <w:t>GB 13735</w:t>
      </w:r>
      <w:r>
        <w:rPr>
          <w:rFonts w:hint="eastAsia" w:eastAsia="仿宋_GB2312"/>
          <w:bCs/>
          <w:sz w:val="24"/>
        </w:rPr>
        <w:t>”、“</w:t>
      </w:r>
      <w:r>
        <w:rPr>
          <w:rFonts w:eastAsia="仿宋_GB2312"/>
          <w:bCs/>
          <w:sz w:val="24"/>
        </w:rPr>
        <w:t>GB/T 35795</w:t>
      </w:r>
      <w:r>
        <w:rPr>
          <w:rFonts w:hint="eastAsia" w:eastAsia="仿宋_GB2312"/>
          <w:bCs/>
          <w:sz w:val="24"/>
        </w:rPr>
        <w:t>”、“</w:t>
      </w:r>
      <w:r>
        <w:rPr>
          <w:rFonts w:eastAsia="仿宋_GB2312"/>
          <w:bCs/>
          <w:sz w:val="24"/>
        </w:rPr>
        <w:t>NY/T 1143</w:t>
      </w:r>
      <w:r>
        <w:rPr>
          <w:rFonts w:hint="eastAsia" w:eastAsia="仿宋_GB2312"/>
          <w:bCs/>
          <w:sz w:val="24"/>
        </w:rPr>
        <w:t>”和“</w:t>
      </w:r>
      <w:r>
        <w:rPr>
          <w:rFonts w:eastAsia="仿宋_GB2312"/>
          <w:bCs/>
          <w:sz w:val="24"/>
        </w:rPr>
        <w:t>NY 2619</w:t>
      </w:r>
      <w:r>
        <w:rPr>
          <w:rFonts w:hint="eastAsia" w:eastAsia="仿宋_GB2312"/>
          <w:bCs/>
          <w:sz w:val="24"/>
        </w:rPr>
        <w:t>”。修订原因：原技术规程中缺少农药合理使用规范性引用文件</w:t>
      </w:r>
      <w:r>
        <w:rPr>
          <w:rFonts w:eastAsia="仿宋_GB2312"/>
          <w:bCs/>
          <w:sz w:val="24"/>
        </w:rPr>
        <w:t>GB/T 8321；</w:t>
      </w:r>
      <w:r>
        <w:rPr>
          <w:rFonts w:hint="eastAsia" w:eastAsia="仿宋_GB2312"/>
          <w:bCs/>
          <w:sz w:val="24"/>
        </w:rPr>
        <w:t>原技术规程中地膜规范性引用文件</w:t>
      </w:r>
      <w:r>
        <w:rPr>
          <w:rFonts w:eastAsia="仿宋_GB2312"/>
          <w:bCs/>
          <w:sz w:val="24"/>
        </w:rPr>
        <w:t>GB 13735和GB/T 35795；</w:t>
      </w:r>
      <w:r>
        <w:rPr>
          <w:rFonts w:hint="eastAsia" w:eastAsia="仿宋_GB2312"/>
          <w:bCs/>
          <w:sz w:val="24"/>
        </w:rPr>
        <w:t>原技术规程中缺少播种机质量规范性引用文件NY/T 1143；原技术规程中缺少种子质量规范性引用文件</w:t>
      </w:r>
      <w:r>
        <w:rPr>
          <w:rFonts w:eastAsia="仿宋_GB2312"/>
          <w:bCs/>
          <w:sz w:val="24"/>
        </w:rPr>
        <w:t>NY/T 2619</w:t>
      </w:r>
      <w:r>
        <w:rPr>
          <w:rFonts w:hint="eastAsia" w:eastAsia="仿宋_GB2312"/>
          <w:bCs/>
          <w:sz w:val="24"/>
        </w:rPr>
        <w:t>；；</w:t>
      </w:r>
    </w:p>
    <w:p w14:paraId="091CB5B8">
      <w:pPr>
        <w:spacing w:line="360" w:lineRule="auto"/>
        <w:ind w:firstLine="480" w:firstLineChars="200"/>
        <w:rPr>
          <w:rFonts w:eastAsia="仿宋_GB2312"/>
          <w:bCs/>
          <w:sz w:val="24"/>
        </w:rPr>
      </w:pPr>
      <w:r>
        <w:rPr>
          <w:rFonts w:hint="eastAsia" w:eastAsia="仿宋_GB2312"/>
          <w:bCs/>
          <w:sz w:val="24"/>
        </w:rPr>
        <w:t>（6）修改了术语和定义，修改“冷凉区”的定义，并删除“旱地菜豆”。修订原因：修改后“冷凉区”的定义更为恰当；变更题目后，标准内容不再包含“旱地菜豆”。</w:t>
      </w:r>
    </w:p>
    <w:p w14:paraId="4D094E27">
      <w:pPr>
        <w:spacing w:line="360" w:lineRule="auto"/>
        <w:ind w:firstLine="480" w:firstLineChars="200"/>
        <w:rPr>
          <w:rFonts w:eastAsia="仿宋_GB2312"/>
          <w:bCs/>
          <w:sz w:val="24"/>
        </w:rPr>
      </w:pPr>
      <w:r>
        <w:rPr>
          <w:rFonts w:hint="eastAsia" w:eastAsia="仿宋_GB2312"/>
          <w:bCs/>
          <w:sz w:val="24"/>
        </w:rPr>
        <w:t>（7）删除了“播种量”。修订原因：原</w:t>
      </w:r>
      <w:r>
        <w:rPr>
          <w:rFonts w:eastAsia="仿宋_GB2312"/>
          <w:bCs/>
          <w:sz w:val="24"/>
        </w:rPr>
        <w:t>4.2.</w:t>
      </w:r>
      <w:r>
        <w:rPr>
          <w:rFonts w:hint="eastAsia" w:eastAsia="仿宋_GB2312"/>
          <w:bCs/>
          <w:sz w:val="24"/>
        </w:rPr>
        <w:t>3（现6.6）有播种量描述。</w:t>
      </w:r>
    </w:p>
    <w:p w14:paraId="3D75F659">
      <w:pPr>
        <w:spacing w:line="360" w:lineRule="auto"/>
        <w:ind w:firstLine="480" w:firstLineChars="200"/>
        <w:rPr>
          <w:rFonts w:eastAsia="仿宋_GB2312"/>
          <w:bCs/>
          <w:sz w:val="24"/>
        </w:rPr>
      </w:pPr>
      <w:r>
        <w:rPr>
          <w:rFonts w:hint="eastAsia" w:eastAsia="仿宋_GB2312"/>
          <w:bCs/>
          <w:sz w:val="24"/>
        </w:rPr>
        <w:t>（8）更改了“品种选择”，修改为“选用适宜本生态区种植的优质、高产蔓生型菜豆品种。种子质量应符合NY/T 2619的规定。” 修订原因：修订后表述更为恰当。</w:t>
      </w:r>
    </w:p>
    <w:p w14:paraId="2EB42A6C">
      <w:pPr>
        <w:spacing w:line="360" w:lineRule="auto"/>
        <w:ind w:firstLine="480" w:firstLineChars="200"/>
        <w:rPr>
          <w:rFonts w:eastAsia="仿宋_GB2312"/>
          <w:bCs/>
          <w:sz w:val="24"/>
        </w:rPr>
      </w:pPr>
      <w:r>
        <w:rPr>
          <w:rFonts w:hint="eastAsia" w:eastAsia="仿宋_GB2312"/>
          <w:bCs/>
          <w:sz w:val="24"/>
        </w:rPr>
        <w:t>3、涉及到的技术指标主要有7项：</w:t>
      </w:r>
    </w:p>
    <w:p w14:paraId="236D2F20">
      <w:pPr>
        <w:spacing w:line="360" w:lineRule="auto"/>
        <w:ind w:firstLine="480" w:firstLineChars="200"/>
        <w:rPr>
          <w:rFonts w:eastAsia="仿宋_GB2312"/>
          <w:bCs/>
          <w:sz w:val="24"/>
        </w:rPr>
      </w:pPr>
      <w:r>
        <w:rPr>
          <w:rFonts w:hint="eastAsia" w:ascii="仿宋_GB2312" w:hAnsi="宋体" w:eastAsia="仿宋_GB2312"/>
          <w:sz w:val="24"/>
        </w:rPr>
        <w:t>（1）</w:t>
      </w:r>
      <w:r>
        <w:rPr>
          <w:rFonts w:hint="eastAsia" w:eastAsia="仿宋_GB2312"/>
          <w:bCs/>
          <w:sz w:val="24"/>
        </w:rPr>
        <w:t>更改了“地膜选择”中地膜种类，将地膜种类由“幅宽80～90 cm，厚度0.01 mm的普通聚乙烯薄膜”更改为“幅宽80～90 cm，厚度0.01 mm的普通聚乙烯薄膜或厚度0.01 mm的全生物降解地膜”，并增加了地膜质量规范性引用文件。修订原因：现行GB 13735-2017 《聚乙烯吹塑农用地面覆盖薄膜》规定聚乙烯薄膜厚度不得小于0.01 mm；国家和山西省政府均明确指出要加大全生物降解地膜替代聚乙烯地膜示范推广力度，减少残膜污染，而项目组通过田间试验发现全生物降解地膜具有良好的增温保墒效果，可以替代聚乙烯以减少残膜污染。</w:t>
      </w:r>
    </w:p>
    <w:p w14:paraId="2D64AE02">
      <w:pPr>
        <w:spacing w:line="360" w:lineRule="auto"/>
        <w:ind w:firstLine="480" w:firstLineChars="200"/>
        <w:rPr>
          <w:rFonts w:eastAsia="仿宋_GB2312"/>
          <w:bCs/>
          <w:sz w:val="24"/>
        </w:rPr>
      </w:pPr>
      <w:r>
        <w:rPr>
          <w:rFonts w:hint="eastAsia" w:ascii="仿宋_GB2312" w:hAnsi="宋体" w:eastAsia="仿宋_GB2312"/>
          <w:sz w:val="24"/>
        </w:rPr>
        <w:t>（2）</w:t>
      </w:r>
      <w:r>
        <w:rPr>
          <w:rFonts w:hint="eastAsia" w:eastAsia="仿宋_GB2312"/>
          <w:bCs/>
          <w:sz w:val="24"/>
        </w:rPr>
        <w:t>更改了“地膜选择”中地膜用量，将地膜用量由“每666.7 m</w:t>
      </w:r>
      <w:r>
        <w:rPr>
          <w:rFonts w:hint="eastAsia" w:eastAsia="仿宋_GB2312"/>
          <w:bCs/>
          <w:sz w:val="24"/>
          <w:vertAlign w:val="superscript"/>
        </w:rPr>
        <w:t>2</w:t>
      </w:r>
      <w:r>
        <w:rPr>
          <w:rFonts w:hint="eastAsia" w:eastAsia="仿宋_GB2312"/>
          <w:bCs/>
          <w:sz w:val="24"/>
        </w:rPr>
        <w:t>用量2.5 kg～3.0 kg”更改为“普通聚乙烯薄膜每666.7 m</w:t>
      </w:r>
      <w:r>
        <w:rPr>
          <w:rFonts w:hint="eastAsia" w:eastAsia="仿宋_GB2312"/>
          <w:bCs/>
          <w:sz w:val="24"/>
          <w:vertAlign w:val="superscript"/>
        </w:rPr>
        <w:t>2</w:t>
      </w:r>
      <w:r>
        <w:rPr>
          <w:rFonts w:hint="eastAsia" w:eastAsia="仿宋_GB2312"/>
          <w:bCs/>
          <w:sz w:val="24"/>
        </w:rPr>
        <w:t>用量3.0 kg～3.5 kg；全生物降解地膜每666.7 m</w:t>
      </w:r>
      <w:r>
        <w:rPr>
          <w:rFonts w:hint="eastAsia" w:eastAsia="仿宋_GB2312"/>
          <w:bCs/>
          <w:sz w:val="24"/>
          <w:vertAlign w:val="superscript"/>
        </w:rPr>
        <w:t>2</w:t>
      </w:r>
      <w:r>
        <w:rPr>
          <w:rFonts w:hint="eastAsia" w:eastAsia="仿宋_GB2312"/>
          <w:bCs/>
          <w:sz w:val="24"/>
        </w:rPr>
        <w:t>用量4.0 kg～4.5 kg”。修订原因及试验验证分析：现行GB/T 13735-2017 《聚乙烯吹塑农用地面覆盖薄膜》规定聚乙烯薄膜厚度较原来的增加了0.002 mm，相应每666.7 m</w:t>
      </w:r>
      <w:r>
        <w:rPr>
          <w:rFonts w:hint="eastAsia" w:eastAsia="仿宋_GB2312"/>
          <w:bCs/>
          <w:sz w:val="24"/>
          <w:vertAlign w:val="superscript"/>
        </w:rPr>
        <w:t>2</w:t>
      </w:r>
      <w:r>
        <w:rPr>
          <w:rFonts w:hint="eastAsia" w:eastAsia="仿宋_GB2312"/>
          <w:bCs/>
          <w:sz w:val="24"/>
        </w:rPr>
        <w:t>用量增加0.5 kg；可选择的地膜增加了全生物降解地膜，需增加了其用量标准。</w:t>
      </w:r>
    </w:p>
    <w:p w14:paraId="6234A24B">
      <w:pPr>
        <w:spacing w:line="360" w:lineRule="auto"/>
        <w:ind w:firstLine="480" w:firstLineChars="200"/>
        <w:rPr>
          <w:rFonts w:eastAsia="仿宋_GB2312"/>
          <w:bCs/>
          <w:sz w:val="24"/>
        </w:rPr>
      </w:pPr>
      <w:r>
        <w:rPr>
          <w:rFonts w:hint="eastAsia" w:eastAsia="仿宋_GB2312"/>
          <w:bCs/>
          <w:sz w:val="24"/>
        </w:rPr>
        <w:t>（3）更改了“播种机选择”，将“鸭嘴式铺膜播种机”修订为“选择可一次完成施肥、起垄、覆膜、播种等作业的播种机，播种机质量符合NY/T 1143的规定”。修订原因：原标准没有明确播种机功能和质量。</w:t>
      </w:r>
    </w:p>
    <w:p w14:paraId="076C9D5D">
      <w:pPr>
        <w:spacing w:line="360" w:lineRule="auto"/>
        <w:ind w:firstLine="480" w:firstLineChars="200"/>
        <w:rPr>
          <w:rFonts w:hint="eastAsia" w:eastAsia="仿宋_GB2312"/>
          <w:bCs/>
          <w:sz w:val="24"/>
        </w:rPr>
      </w:pPr>
      <w:r>
        <w:rPr>
          <w:rFonts w:hint="eastAsia" w:eastAsia="仿宋_GB2312"/>
          <w:bCs/>
          <w:sz w:val="24"/>
        </w:rPr>
        <w:t>（4）更改了“种子处理”，将“用菜豆环保型抗旱种衣剂或用种子量0.4%的50%多菌灵可湿性粉剂拌种”修订为“用种衣剂包衣或55 ℃的热水浸种15 min，种子包衣按照GB/T 15671和GB/T 8321的规定执行”。修订原因：现在市场化的环保型菜豆抗旱种衣剂种类很少，更改为种衣剂更利用标准的推广；改为55 ℃的热水浸种15 min同样可以杀灭潜伏在种子表层或内部的病菌，并且减少了农药的使用。</w:t>
      </w:r>
    </w:p>
    <w:p w14:paraId="5C70EA5D">
      <w:pPr>
        <w:spacing w:line="360" w:lineRule="auto"/>
        <w:ind w:firstLine="480" w:firstLineChars="200"/>
        <w:rPr>
          <w:rFonts w:eastAsia="仿宋_GB2312"/>
          <w:bCs/>
          <w:sz w:val="24"/>
        </w:rPr>
      </w:pPr>
      <w:r>
        <w:rPr>
          <w:rFonts w:hint="eastAsia" w:eastAsia="仿宋_GB2312"/>
          <w:bCs/>
          <w:sz w:val="24"/>
        </w:rPr>
        <w:t>（5）增加了“破除板结”的方式。修订原因：为了提高作业效率可以选择机械破除板结。</w:t>
      </w:r>
    </w:p>
    <w:p w14:paraId="2B467E94">
      <w:pPr>
        <w:spacing w:line="360" w:lineRule="auto"/>
        <w:ind w:firstLine="480" w:firstLineChars="200"/>
        <w:rPr>
          <w:rFonts w:hint="eastAsia" w:eastAsia="仿宋_GB2312"/>
          <w:bCs/>
          <w:sz w:val="24"/>
        </w:rPr>
      </w:pPr>
      <w:r>
        <w:rPr>
          <w:rFonts w:hint="eastAsia" w:eastAsia="仿宋_GB2312"/>
          <w:bCs/>
          <w:sz w:val="24"/>
        </w:rPr>
        <w:t>（6）删除了“育苗补栽”。修订原因：随机育苗技术的进步，现阶段菜豆育苗技术多样化，补栽苗的来源也多样化，如，可通过公司直接购买商品苗，因此不再设定纸筒育苗。</w:t>
      </w:r>
    </w:p>
    <w:p w14:paraId="793F2B4A">
      <w:pPr>
        <w:spacing w:line="360" w:lineRule="auto"/>
        <w:ind w:firstLine="480" w:firstLineChars="200"/>
        <w:rPr>
          <w:rFonts w:eastAsia="仿宋_GB2312"/>
          <w:bCs/>
          <w:sz w:val="24"/>
        </w:rPr>
      </w:pPr>
      <w:r>
        <w:rPr>
          <w:rFonts w:hint="eastAsia" w:eastAsia="仿宋_GB2312"/>
          <w:bCs/>
          <w:sz w:val="24"/>
        </w:rPr>
        <w:t>（7）修改“病虫害防治”相关内容，删除“炭疽病”，增加了“枯萎病”，增加农药合理使用规范性引用文件GB/T 8321 (所有部分)。修订原因：菜豆苗期病虫害主要地下虫害和枯萎病，较少发生炭疽病。</w:t>
      </w:r>
    </w:p>
    <w:p w14:paraId="61BECFBE">
      <w:pPr>
        <w:spacing w:line="360" w:lineRule="auto"/>
        <w:ind w:firstLine="480" w:firstLineChars="200"/>
        <w:outlineLvl w:val="0"/>
        <w:rPr>
          <w:rFonts w:ascii="黑体" w:eastAsia="黑体"/>
          <w:sz w:val="24"/>
        </w:rPr>
      </w:pPr>
      <w:r>
        <w:rPr>
          <w:rFonts w:hint="eastAsia" w:ascii="黑体" w:eastAsia="黑体"/>
          <w:sz w:val="24"/>
        </w:rPr>
        <w:t>六</w:t>
      </w:r>
      <w:r>
        <w:rPr>
          <w:rFonts w:ascii="黑体" w:eastAsia="黑体"/>
          <w:sz w:val="24"/>
        </w:rPr>
        <w:t>、</w:t>
      </w:r>
      <w:r>
        <w:rPr>
          <w:rFonts w:hint="eastAsia" w:ascii="黑体" w:eastAsia="黑体"/>
          <w:sz w:val="24"/>
        </w:rPr>
        <w:t>重大</w:t>
      </w:r>
      <w:r>
        <w:rPr>
          <w:rFonts w:ascii="黑体" w:eastAsia="黑体"/>
          <w:sz w:val="24"/>
        </w:rPr>
        <w:t>意见分歧的处理依据和结果</w:t>
      </w:r>
    </w:p>
    <w:p w14:paraId="5268B7BD">
      <w:pPr>
        <w:spacing w:line="360" w:lineRule="auto"/>
        <w:ind w:firstLine="480" w:firstLineChars="200"/>
        <w:jc w:val="left"/>
        <w:rPr>
          <w:rFonts w:ascii="仿宋_GB2312" w:hAnsi="宋体" w:eastAsia="仿宋_GB2312"/>
          <w:sz w:val="24"/>
        </w:rPr>
      </w:pPr>
      <w:r>
        <w:rPr>
          <w:rFonts w:hint="eastAsia" w:ascii="仿宋_GB2312" w:hAnsi="宋体" w:eastAsia="仿宋_GB2312"/>
          <w:sz w:val="24"/>
        </w:rPr>
        <w:t>在标准征求意见中，广泛征求了山西农业大学的意见建议，共征求意见的单位3个，共收到反馈意见5条，其中采纳意见5条，未采纳意见0条，起草组对收集回来的意见进行了分类、归纳，针对每一条意见都进行了相应的回复。具体修改意见见意见处理汇总表。</w:t>
      </w:r>
    </w:p>
    <w:p w14:paraId="27BF9028">
      <w:pPr>
        <w:spacing w:line="360" w:lineRule="auto"/>
        <w:ind w:firstLine="480" w:firstLineChars="200"/>
        <w:outlineLvl w:val="0"/>
        <w:rPr>
          <w:rFonts w:ascii="黑体" w:eastAsia="黑体"/>
          <w:sz w:val="24"/>
        </w:rPr>
      </w:pPr>
      <w:r>
        <w:rPr>
          <w:rFonts w:hint="eastAsia" w:ascii="黑体" w:eastAsia="黑体"/>
          <w:sz w:val="24"/>
        </w:rPr>
        <w:t>七</w:t>
      </w:r>
      <w:r>
        <w:rPr>
          <w:rFonts w:ascii="黑体" w:eastAsia="黑体"/>
          <w:sz w:val="24"/>
        </w:rPr>
        <w:t>、</w:t>
      </w:r>
      <w:r>
        <w:rPr>
          <w:rFonts w:hint="eastAsia" w:ascii="黑体" w:eastAsia="黑体"/>
          <w:sz w:val="24"/>
        </w:rPr>
        <w:t>采标</w:t>
      </w:r>
      <w:r>
        <w:rPr>
          <w:rFonts w:ascii="黑体" w:eastAsia="黑体"/>
          <w:sz w:val="24"/>
        </w:rPr>
        <w:t>情况，是否合规引用或采用国际标准和国外先进标准，以及与国内外同类标准水平的对比情况</w:t>
      </w:r>
    </w:p>
    <w:p w14:paraId="7015A345">
      <w:pPr>
        <w:spacing w:line="360" w:lineRule="auto"/>
        <w:ind w:firstLine="480" w:firstLineChars="200"/>
        <w:outlineLvl w:val="0"/>
        <w:rPr>
          <w:rFonts w:ascii="仿宋_GB2312" w:hAnsi="宋体" w:eastAsia="仿宋_GB2312"/>
          <w:sz w:val="24"/>
        </w:rPr>
      </w:pPr>
      <w:r>
        <w:rPr>
          <w:rFonts w:hint="eastAsia" w:ascii="仿宋_GB2312" w:hAnsi="宋体" w:eastAsia="仿宋_GB2312"/>
          <w:sz w:val="24"/>
        </w:rPr>
        <w:t>无引用或采用国际标准和国外先进标准。</w:t>
      </w:r>
    </w:p>
    <w:p w14:paraId="60B8F720">
      <w:pPr>
        <w:spacing w:line="360" w:lineRule="auto"/>
        <w:ind w:firstLine="480" w:firstLineChars="200"/>
        <w:outlineLvl w:val="0"/>
        <w:rPr>
          <w:rFonts w:ascii="仿宋_GB2312" w:hAnsi="宋体" w:eastAsia="仿宋_GB2312"/>
          <w:sz w:val="24"/>
        </w:rPr>
      </w:pPr>
      <w:r>
        <w:rPr>
          <w:rFonts w:hint="eastAsia" w:ascii="仿宋_GB2312" w:hAnsi="宋体" w:eastAsia="仿宋_GB2312"/>
          <w:sz w:val="24"/>
        </w:rPr>
        <w:t>与国内外同类标准水平的对比，目前国内发布的菜豆标准有农业行业标准 NY/T 5081—2002 《无公害食品 菜豆生产技术规程》、山西省地方标准DB 14/T 1097—2015《无公害露地菜豆生产技术规程》、山西省地方标准DB 14/T 1235—2016《绿色食品 菜豆生产技术规程》、山西省地方标准DB14/T 2090—2020 《旱地菜豆栽培技术规程》、甘肃省地方标准DB 62/T 4583—2022《绿色食品 菜豆生产技术规程》和陕西省地方标准DB 61/T 1523—2021《高山菜豆生产技术规程》等，这些标准没有考虑到冷凉区菜豆播种保苗环节的技术难题；安徽省地方标准DB 34/T 4477—2023《大棚菜豆栽培技术规程》虽然涉及到旱地菜豆育苗和移栽环节，但只适用于菜豆的大棚生产，不适合本省冷凉区菜豆生产。</w:t>
      </w:r>
    </w:p>
    <w:p w14:paraId="3A22045C">
      <w:pPr>
        <w:spacing w:line="360" w:lineRule="auto"/>
        <w:ind w:firstLine="480" w:firstLineChars="200"/>
        <w:outlineLvl w:val="0"/>
        <w:rPr>
          <w:rFonts w:ascii="仿宋_GB2312" w:hAnsi="宋体" w:eastAsia="仿宋_GB2312"/>
          <w:sz w:val="24"/>
        </w:rPr>
      </w:pPr>
      <w:r>
        <w:rPr>
          <w:rFonts w:hint="eastAsia" w:ascii="仿宋_GB2312" w:hAnsi="宋体" w:eastAsia="仿宋_GB2312"/>
          <w:sz w:val="24"/>
        </w:rPr>
        <w:t>与现行的行标及地方标准相比较，本标准解决了我省冷凉区菜豆播种保苗环节的技术难题，突出了注重地膜增温、保墒和集雨效应相互协调的问题，完善了地膜起垄覆盖的宽度和高度，更有利于协调起垄后地膜的增温和集雨的矛盾；补充了覆膜播种机播种技术，实现了艺机一体化。通过本标准实施，冷凉区菜豆出苗率提高了18.3%；大田空穴率降低73.1%，产量增加了18%以上，收入增加了60%以上，有效解决了山西冷凉区菜豆播种难、出苗难、保苗难等问题。</w:t>
      </w:r>
    </w:p>
    <w:p w14:paraId="582FCE2D">
      <w:pPr>
        <w:spacing w:line="360" w:lineRule="auto"/>
        <w:ind w:firstLine="480" w:firstLineChars="200"/>
        <w:outlineLvl w:val="0"/>
        <w:rPr>
          <w:rFonts w:ascii="黑体" w:eastAsia="黑体"/>
          <w:sz w:val="24"/>
        </w:rPr>
      </w:pPr>
      <w:r>
        <w:rPr>
          <w:rFonts w:hint="eastAsia" w:ascii="黑体" w:eastAsia="黑体"/>
          <w:sz w:val="24"/>
        </w:rPr>
        <w:t>八、</w:t>
      </w:r>
      <w:r>
        <w:rPr>
          <w:rFonts w:hint="eastAsia" w:ascii="黑体" w:hAnsi="黑体" w:eastAsia="黑体"/>
          <w:sz w:val="24"/>
        </w:rPr>
        <w:t>作为推荐性标准或者强制性标准的建议及其理由。</w:t>
      </w:r>
    </w:p>
    <w:p w14:paraId="2BC2E1B0">
      <w:pPr>
        <w:spacing w:line="360" w:lineRule="auto"/>
        <w:ind w:firstLine="480" w:firstLineChars="200"/>
        <w:jc w:val="left"/>
        <w:rPr>
          <w:rFonts w:ascii="仿宋_GB2312" w:hAnsi="宋体" w:eastAsia="仿宋_GB2312"/>
          <w:sz w:val="24"/>
        </w:rPr>
      </w:pPr>
      <w:r>
        <w:rPr>
          <w:rFonts w:hint="eastAsia" w:ascii="仿宋_GB2312" w:hAnsi="宋体" w:eastAsia="仿宋_GB2312"/>
          <w:sz w:val="24"/>
        </w:rPr>
        <w:t>本标准为作物生产类标准，并不涉及有关国家安全、保护人体健康和人身财产安全、环境质量要求等有关强制性地方标准或强制性条文等的八项要求之一，因此建议作为推荐性地方标准发布实施。</w:t>
      </w:r>
    </w:p>
    <w:p w14:paraId="1F7E5D18">
      <w:pPr>
        <w:spacing w:line="360" w:lineRule="auto"/>
        <w:ind w:firstLine="480" w:firstLineChars="200"/>
        <w:outlineLvl w:val="0"/>
        <w:rPr>
          <w:rFonts w:ascii="黑体" w:eastAsia="黑体"/>
          <w:sz w:val="24"/>
        </w:rPr>
      </w:pPr>
      <w:r>
        <w:rPr>
          <w:rFonts w:hint="eastAsia" w:ascii="黑体" w:eastAsia="黑体"/>
          <w:sz w:val="24"/>
        </w:rPr>
        <w:t>九、强制性标准实施的风险点、 风险程度、 风险防控措施和预案</w:t>
      </w:r>
    </w:p>
    <w:p w14:paraId="54AE96A8">
      <w:pPr>
        <w:spacing w:line="360" w:lineRule="auto"/>
        <w:ind w:firstLine="480" w:firstLineChars="200"/>
        <w:jc w:val="left"/>
        <w:rPr>
          <w:rFonts w:ascii="仿宋_GB2312" w:hAnsi="宋体" w:eastAsia="仿宋_GB2312"/>
          <w:sz w:val="24"/>
        </w:rPr>
      </w:pPr>
      <w:r>
        <w:rPr>
          <w:rFonts w:hint="eastAsia" w:ascii="仿宋_GB2312" w:hAnsi="宋体" w:eastAsia="仿宋_GB2312"/>
          <w:sz w:val="24"/>
        </w:rPr>
        <w:t>无</w:t>
      </w:r>
    </w:p>
    <w:p w14:paraId="4AFF969E">
      <w:pPr>
        <w:spacing w:line="360" w:lineRule="auto"/>
        <w:ind w:firstLine="480" w:firstLineChars="200"/>
        <w:outlineLvl w:val="0"/>
        <w:rPr>
          <w:rFonts w:ascii="黑体" w:eastAsia="黑体"/>
          <w:sz w:val="24"/>
        </w:rPr>
      </w:pPr>
      <w:r>
        <w:rPr>
          <w:rFonts w:hint="eastAsia" w:ascii="黑体" w:eastAsia="黑体"/>
          <w:sz w:val="24"/>
        </w:rPr>
        <w:t>十</w:t>
      </w:r>
      <w:r>
        <w:rPr>
          <w:rFonts w:ascii="黑体" w:eastAsia="黑体"/>
          <w:sz w:val="24"/>
        </w:rPr>
        <w:t>、</w:t>
      </w:r>
      <w:r>
        <w:rPr>
          <w:rFonts w:hint="eastAsia" w:ascii="黑体" w:eastAsia="黑体"/>
          <w:sz w:val="24"/>
        </w:rPr>
        <w:t>实施</w:t>
      </w:r>
      <w:r>
        <w:rPr>
          <w:rFonts w:ascii="黑体" w:eastAsia="黑体"/>
          <w:sz w:val="24"/>
        </w:rPr>
        <w:t>标准的措施建议</w:t>
      </w:r>
    </w:p>
    <w:p w14:paraId="4C8726A7">
      <w:pPr>
        <w:spacing w:line="360" w:lineRule="auto"/>
        <w:ind w:firstLine="480" w:firstLineChars="200"/>
        <w:jc w:val="left"/>
        <w:rPr>
          <w:rFonts w:ascii="仿宋_GB2312" w:hAnsi="宋体" w:eastAsia="仿宋_GB2312"/>
          <w:sz w:val="24"/>
        </w:rPr>
      </w:pPr>
      <w:r>
        <w:rPr>
          <w:rFonts w:hint="eastAsia" w:ascii="仿宋_GB2312" w:hAnsi="宋体" w:eastAsia="仿宋_GB2312"/>
          <w:sz w:val="24"/>
        </w:rPr>
        <w:t>在标准发布后，标准起草组将采用多种方式加大宣传和培训力度；在阳曲县凌井店乡开展菜豆试点示范工作，通过专题讲座、现场指导、资料发放、专家讲解、技术培训等方式，带动农民实施本标准；把标准的实施作为提升冷凉区菜豆生产水平的重要推手，做好技术示范、树立样板、奖励典型、以点带面、深入指导、层层培训，确保技术进村入户，为我省有机旱作农业发展提供技术支撑。</w:t>
      </w:r>
    </w:p>
    <w:p w14:paraId="2D23ED3E">
      <w:pPr>
        <w:spacing w:line="360" w:lineRule="auto"/>
        <w:ind w:firstLine="480" w:firstLineChars="200"/>
        <w:outlineLvl w:val="0"/>
        <w:rPr>
          <w:rFonts w:ascii="黑体" w:eastAsia="黑体"/>
          <w:sz w:val="24"/>
        </w:rPr>
      </w:pPr>
      <w:r>
        <w:rPr>
          <w:rFonts w:hint="eastAsia" w:ascii="黑体" w:eastAsia="黑体"/>
          <w:sz w:val="24"/>
        </w:rPr>
        <w:t>十一、其他应说明的事项</w:t>
      </w:r>
    </w:p>
    <w:p w14:paraId="6FC91D4F">
      <w:pPr>
        <w:spacing w:line="360" w:lineRule="auto"/>
        <w:ind w:firstLine="480" w:firstLineChars="200"/>
        <w:jc w:val="left"/>
        <w:rPr>
          <w:rFonts w:ascii="仿宋_GB2312" w:hAnsi="宋体" w:eastAsia="仿宋_GB2312"/>
          <w:sz w:val="24"/>
        </w:rPr>
      </w:pPr>
      <w:r>
        <w:rPr>
          <w:rFonts w:hint="eastAsia" w:ascii="仿宋_GB2312" w:hAnsi="宋体" w:eastAsia="仿宋_GB2312"/>
          <w:sz w:val="24"/>
        </w:rPr>
        <w:t>无</w:t>
      </w:r>
    </w:p>
    <w:p w14:paraId="5F4D652B">
      <w:pPr>
        <w:spacing w:line="360" w:lineRule="auto"/>
        <w:ind w:firstLine="480" w:firstLineChars="200"/>
        <w:jc w:val="left"/>
        <w:rPr>
          <w:rFonts w:ascii="仿宋_GB2312" w:hAnsi="宋体" w:eastAsia="仿宋_GB2312"/>
          <w:sz w:val="24"/>
        </w:rPr>
        <w:sectPr>
          <w:footerReference r:id="rId3" w:type="default"/>
          <w:pgSz w:w="11906" w:h="16838"/>
          <w:pgMar w:top="1440" w:right="1803" w:bottom="1440" w:left="1803" w:header="851" w:footer="992" w:gutter="0"/>
          <w:pgNumType w:start="1"/>
          <w:cols w:space="0" w:num="1"/>
          <w:titlePg/>
          <w:docGrid w:type="lines" w:linePitch="319" w:charSpace="0"/>
        </w:sectPr>
      </w:pPr>
    </w:p>
    <w:p w14:paraId="41A92D76">
      <w:pPr>
        <w:spacing w:line="360" w:lineRule="auto"/>
        <w:ind w:firstLine="480" w:firstLineChars="200"/>
        <w:jc w:val="left"/>
        <w:rPr>
          <w:rFonts w:ascii="仿宋_GB2312" w:hAnsi="宋体" w:eastAsia="仿宋_GB2312"/>
          <w:sz w:val="24"/>
        </w:rPr>
      </w:pPr>
      <w:r>
        <w:rPr>
          <w:rFonts w:hint="eastAsia" w:ascii="仿宋_GB2312" w:hAnsi="宋体" w:eastAsia="仿宋_GB2312"/>
          <w:sz w:val="24"/>
        </w:rPr>
        <w:t>附表</w:t>
      </w:r>
    </w:p>
    <w:p w14:paraId="345B58CD">
      <w:pPr>
        <w:jc w:val="center"/>
        <w:rPr>
          <w:rFonts w:ascii="仿宋_GB2312" w:hAnsi="宋体" w:eastAsia="仿宋_GB2312"/>
          <w:sz w:val="24"/>
        </w:rPr>
      </w:pPr>
      <w:r>
        <w:rPr>
          <w:rFonts w:hint="eastAsia" w:ascii="仿宋_GB2312" w:hAnsi="宋体" w:eastAsia="仿宋_GB2312"/>
          <w:sz w:val="24"/>
        </w:rPr>
        <w:t>《冷凉区旱地菜豆播种保苗技术规程》地方标准征求意见汇总处理表</w:t>
      </w:r>
    </w:p>
    <w:p w14:paraId="581955F6">
      <w:pPr>
        <w:jc w:val="center"/>
        <w:rPr>
          <w:rFonts w:ascii="仿宋_GB2312" w:hAnsi="宋体" w:eastAsia="仿宋_GB2312"/>
          <w:color w:val="0000FF"/>
          <w:sz w:val="24"/>
        </w:rPr>
      </w:pPr>
    </w:p>
    <w:tbl>
      <w:tblPr>
        <w:tblStyle w:val="13"/>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9"/>
        <w:gridCol w:w="2337"/>
        <w:gridCol w:w="1969"/>
        <w:gridCol w:w="2156"/>
        <w:gridCol w:w="2530"/>
        <w:gridCol w:w="3022"/>
      </w:tblGrid>
      <w:tr w14:paraId="6CF7C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pct"/>
            <w:vAlign w:val="center"/>
          </w:tcPr>
          <w:p w14:paraId="78C9B808">
            <w:pPr>
              <w:jc w:val="center"/>
            </w:pPr>
            <w:r>
              <w:rPr>
                <w:rFonts w:hint="eastAsia"/>
              </w:rPr>
              <w:t>序号</w:t>
            </w:r>
          </w:p>
        </w:tc>
        <w:tc>
          <w:tcPr>
            <w:tcW w:w="825" w:type="pct"/>
            <w:vAlign w:val="center"/>
          </w:tcPr>
          <w:p w14:paraId="622CE318">
            <w:pPr>
              <w:jc w:val="center"/>
            </w:pPr>
            <w:r>
              <w:rPr>
                <w:rFonts w:hint="eastAsia"/>
              </w:rPr>
              <w:t>标准章条编号</w:t>
            </w:r>
          </w:p>
        </w:tc>
        <w:tc>
          <w:tcPr>
            <w:tcW w:w="695" w:type="pct"/>
            <w:vAlign w:val="center"/>
          </w:tcPr>
          <w:p w14:paraId="588ADE31">
            <w:pPr>
              <w:jc w:val="center"/>
            </w:pPr>
            <w:r>
              <w:rPr>
                <w:rFonts w:hint="eastAsia"/>
              </w:rPr>
              <w:t>意见内容</w:t>
            </w:r>
          </w:p>
        </w:tc>
        <w:tc>
          <w:tcPr>
            <w:tcW w:w="761" w:type="pct"/>
            <w:vAlign w:val="center"/>
          </w:tcPr>
          <w:p w14:paraId="30765C49">
            <w:pPr>
              <w:jc w:val="center"/>
            </w:pPr>
            <w:r>
              <w:rPr>
                <w:rFonts w:hint="eastAsia"/>
              </w:rPr>
              <w:t>提出单位</w:t>
            </w:r>
          </w:p>
          <w:p w14:paraId="4AA8D03F">
            <w:pPr>
              <w:jc w:val="center"/>
            </w:pPr>
            <w:r>
              <w:rPr>
                <w:rFonts w:hint="eastAsia"/>
              </w:rPr>
              <w:t>（或个人）</w:t>
            </w:r>
          </w:p>
        </w:tc>
        <w:tc>
          <w:tcPr>
            <w:tcW w:w="893" w:type="pct"/>
            <w:vAlign w:val="center"/>
          </w:tcPr>
          <w:p w14:paraId="62869CC2">
            <w:pPr>
              <w:jc w:val="center"/>
            </w:pPr>
            <w:r>
              <w:rPr>
                <w:rFonts w:hint="eastAsia"/>
              </w:rPr>
              <w:t>处理意见</w:t>
            </w:r>
          </w:p>
          <w:p w14:paraId="382236F5">
            <w:pPr>
              <w:jc w:val="center"/>
            </w:pPr>
            <w:r>
              <w:rPr>
                <w:rFonts w:hint="eastAsia"/>
              </w:rPr>
              <w:t>（采纳</w:t>
            </w:r>
            <w:r>
              <w:t>/</w:t>
            </w:r>
            <w:r>
              <w:rPr>
                <w:rFonts w:hint="eastAsia"/>
              </w:rPr>
              <w:t>不采纳）</w:t>
            </w:r>
          </w:p>
        </w:tc>
        <w:tc>
          <w:tcPr>
            <w:tcW w:w="1067" w:type="pct"/>
            <w:vAlign w:val="center"/>
          </w:tcPr>
          <w:p w14:paraId="0A7DE93E">
            <w:pPr>
              <w:jc w:val="center"/>
            </w:pPr>
            <w:r>
              <w:rPr>
                <w:rFonts w:hint="eastAsia"/>
              </w:rPr>
              <w:t>意见处理说明</w:t>
            </w:r>
          </w:p>
          <w:p w14:paraId="369815F7">
            <w:pPr>
              <w:jc w:val="center"/>
            </w:pPr>
            <w:r>
              <w:rPr>
                <w:rFonts w:hint="eastAsia"/>
              </w:rPr>
              <w:t>（不采纳理由等）</w:t>
            </w:r>
          </w:p>
        </w:tc>
      </w:tr>
      <w:tr w14:paraId="00F9A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pct"/>
            <w:vAlign w:val="center"/>
          </w:tcPr>
          <w:p w14:paraId="47A576C8">
            <w:pPr>
              <w:jc w:val="center"/>
              <w:rPr>
                <w:szCs w:val="21"/>
              </w:rPr>
            </w:pPr>
            <w:r>
              <w:rPr>
                <w:szCs w:val="21"/>
              </w:rPr>
              <w:t>1</w:t>
            </w:r>
          </w:p>
        </w:tc>
        <w:tc>
          <w:tcPr>
            <w:tcW w:w="825" w:type="pct"/>
            <w:vAlign w:val="center"/>
          </w:tcPr>
          <w:p w14:paraId="4267F138">
            <w:pPr>
              <w:adjustRightInd w:val="0"/>
              <w:snapToGrid w:val="0"/>
              <w:jc w:val="center"/>
              <w:rPr>
                <w:szCs w:val="21"/>
              </w:rPr>
            </w:pPr>
            <w:r>
              <w:rPr>
                <w:rFonts w:hint="eastAsia"/>
                <w:szCs w:val="21"/>
              </w:rPr>
              <w:t>2 规范性引用文件</w:t>
            </w:r>
          </w:p>
        </w:tc>
        <w:tc>
          <w:tcPr>
            <w:tcW w:w="695" w:type="pct"/>
            <w:vAlign w:val="center"/>
          </w:tcPr>
          <w:p w14:paraId="66F48A27">
            <w:pPr>
              <w:adjustRightInd w:val="0"/>
              <w:snapToGrid w:val="0"/>
              <w:jc w:val="center"/>
              <w:rPr>
                <w:szCs w:val="21"/>
              </w:rPr>
            </w:pPr>
            <w:r>
              <w:rPr>
                <w:rFonts w:hint="eastAsia"/>
                <w:szCs w:val="21"/>
              </w:rPr>
              <w:t>增补“GB/T 8321 （所有部分）农药合理使用准则”，并在病虫害防治章节引入</w:t>
            </w:r>
            <w:r>
              <w:rPr>
                <w:rFonts w:hint="eastAsia"/>
                <w:szCs w:val="21"/>
              </w:rPr>
              <w:tab/>
            </w:r>
          </w:p>
        </w:tc>
        <w:tc>
          <w:tcPr>
            <w:tcW w:w="761" w:type="pct"/>
            <w:vAlign w:val="center"/>
          </w:tcPr>
          <w:p w14:paraId="48C0BF19">
            <w:pPr>
              <w:adjustRightInd w:val="0"/>
              <w:snapToGrid w:val="0"/>
              <w:jc w:val="center"/>
              <w:rPr>
                <w:szCs w:val="21"/>
              </w:rPr>
            </w:pPr>
            <w:r>
              <w:rPr>
                <w:rFonts w:hint="eastAsia"/>
                <w:szCs w:val="21"/>
              </w:rPr>
              <w:t>山西农业大学植物保护学院</w:t>
            </w:r>
          </w:p>
        </w:tc>
        <w:tc>
          <w:tcPr>
            <w:tcW w:w="893" w:type="pct"/>
            <w:vAlign w:val="center"/>
          </w:tcPr>
          <w:p w14:paraId="7364147F">
            <w:pPr>
              <w:adjustRightInd w:val="0"/>
              <w:snapToGrid w:val="0"/>
              <w:jc w:val="center"/>
              <w:rPr>
                <w:szCs w:val="21"/>
              </w:rPr>
            </w:pPr>
            <w:r>
              <w:rPr>
                <w:rFonts w:hint="eastAsia"/>
              </w:rPr>
              <w:t>采纳</w:t>
            </w:r>
          </w:p>
        </w:tc>
        <w:tc>
          <w:tcPr>
            <w:tcW w:w="1067" w:type="pct"/>
            <w:vAlign w:val="center"/>
          </w:tcPr>
          <w:p w14:paraId="02D35E21">
            <w:pPr>
              <w:jc w:val="center"/>
              <w:rPr>
                <w:szCs w:val="21"/>
              </w:rPr>
            </w:pPr>
            <w:r>
              <w:rPr>
                <w:szCs w:val="21"/>
              </w:rPr>
              <w:t>无</w:t>
            </w:r>
          </w:p>
        </w:tc>
      </w:tr>
      <w:tr w14:paraId="14FE7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pct"/>
            <w:vAlign w:val="center"/>
          </w:tcPr>
          <w:p w14:paraId="68F90FE8">
            <w:pPr>
              <w:jc w:val="center"/>
              <w:rPr>
                <w:szCs w:val="21"/>
              </w:rPr>
            </w:pPr>
            <w:r>
              <w:rPr>
                <w:szCs w:val="21"/>
              </w:rPr>
              <w:t>2</w:t>
            </w:r>
          </w:p>
        </w:tc>
        <w:tc>
          <w:tcPr>
            <w:tcW w:w="825" w:type="pct"/>
            <w:vAlign w:val="center"/>
          </w:tcPr>
          <w:p w14:paraId="0DB01892">
            <w:pPr>
              <w:jc w:val="center"/>
              <w:rPr>
                <w:kern w:val="0"/>
                <w:szCs w:val="20"/>
              </w:rPr>
            </w:pPr>
            <w:r>
              <w:rPr>
                <w:rFonts w:hint="eastAsia"/>
                <w:kern w:val="0"/>
                <w:szCs w:val="20"/>
              </w:rPr>
              <w:t>4.1.8</w:t>
            </w:r>
            <w:r>
              <w:rPr>
                <w:kern w:val="0"/>
                <w:szCs w:val="20"/>
              </w:rPr>
              <w:t xml:space="preserve"> </w:t>
            </w:r>
            <w:r>
              <w:rPr>
                <w:rFonts w:hint="eastAsia"/>
                <w:kern w:val="0"/>
                <w:szCs w:val="20"/>
              </w:rPr>
              <w:t>种子</w:t>
            </w:r>
            <w:r>
              <w:rPr>
                <w:kern w:val="0"/>
                <w:szCs w:val="20"/>
              </w:rPr>
              <w:t>处理</w:t>
            </w:r>
          </w:p>
        </w:tc>
        <w:tc>
          <w:tcPr>
            <w:tcW w:w="695" w:type="pct"/>
          </w:tcPr>
          <w:p w14:paraId="0C685DC4">
            <w:pPr>
              <w:jc w:val="center"/>
              <w:rPr>
                <w:kern w:val="0"/>
                <w:szCs w:val="20"/>
              </w:rPr>
            </w:pPr>
            <w:r>
              <w:rPr>
                <w:rFonts w:hint="eastAsia"/>
                <w:kern w:val="0"/>
                <w:szCs w:val="20"/>
              </w:rPr>
              <w:t>去掉</w:t>
            </w:r>
            <w:r>
              <w:rPr>
                <w:kern w:val="0"/>
                <w:szCs w:val="20"/>
              </w:rPr>
              <w:t>多菌灵，改为温汤浸种</w:t>
            </w:r>
            <w:r>
              <w:rPr>
                <w:rFonts w:hint="eastAsia"/>
                <w:kern w:val="0"/>
                <w:szCs w:val="20"/>
              </w:rPr>
              <w:t>，</w:t>
            </w:r>
            <w:r>
              <w:rPr>
                <w:kern w:val="0"/>
                <w:szCs w:val="20"/>
              </w:rPr>
              <w:t>写出具体方法。</w:t>
            </w:r>
          </w:p>
        </w:tc>
        <w:tc>
          <w:tcPr>
            <w:tcW w:w="761" w:type="pct"/>
            <w:vAlign w:val="center"/>
          </w:tcPr>
          <w:p w14:paraId="6C645ADA">
            <w:pPr>
              <w:jc w:val="center"/>
              <w:rPr>
                <w:kern w:val="0"/>
                <w:szCs w:val="20"/>
              </w:rPr>
            </w:pPr>
            <w:r>
              <w:rPr>
                <w:rFonts w:hint="eastAsia"/>
                <w:szCs w:val="21"/>
              </w:rPr>
              <w:t>山西农业大学植物保护学院</w:t>
            </w:r>
          </w:p>
        </w:tc>
        <w:tc>
          <w:tcPr>
            <w:tcW w:w="893" w:type="pct"/>
            <w:vAlign w:val="center"/>
          </w:tcPr>
          <w:p w14:paraId="70F51196">
            <w:pPr>
              <w:adjustRightInd w:val="0"/>
              <w:snapToGrid w:val="0"/>
              <w:jc w:val="center"/>
              <w:rPr>
                <w:szCs w:val="21"/>
              </w:rPr>
            </w:pPr>
            <w:r>
              <w:rPr>
                <w:rFonts w:hint="eastAsia"/>
              </w:rPr>
              <w:t>采纳</w:t>
            </w:r>
          </w:p>
        </w:tc>
        <w:tc>
          <w:tcPr>
            <w:tcW w:w="1067" w:type="pct"/>
            <w:vAlign w:val="center"/>
          </w:tcPr>
          <w:p w14:paraId="0CB90C5B">
            <w:pPr>
              <w:jc w:val="center"/>
              <w:rPr>
                <w:szCs w:val="21"/>
              </w:rPr>
            </w:pPr>
            <w:r>
              <w:rPr>
                <w:szCs w:val="21"/>
              </w:rPr>
              <w:t>无</w:t>
            </w:r>
          </w:p>
        </w:tc>
      </w:tr>
      <w:tr w14:paraId="03108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pct"/>
            <w:vAlign w:val="center"/>
          </w:tcPr>
          <w:p w14:paraId="43DA44DC">
            <w:pPr>
              <w:jc w:val="center"/>
              <w:rPr>
                <w:szCs w:val="21"/>
              </w:rPr>
            </w:pPr>
            <w:r>
              <w:rPr>
                <w:szCs w:val="21"/>
              </w:rPr>
              <w:t>3</w:t>
            </w:r>
          </w:p>
        </w:tc>
        <w:tc>
          <w:tcPr>
            <w:tcW w:w="825" w:type="pct"/>
            <w:vAlign w:val="center"/>
          </w:tcPr>
          <w:p w14:paraId="054587C5">
            <w:pPr>
              <w:adjustRightInd w:val="0"/>
              <w:snapToGrid w:val="0"/>
              <w:jc w:val="center"/>
              <w:rPr>
                <w:szCs w:val="21"/>
              </w:rPr>
            </w:pPr>
            <w:r>
              <w:rPr>
                <w:rFonts w:hint="eastAsia"/>
                <w:szCs w:val="21"/>
              </w:rPr>
              <w:t>4.2.2</w:t>
            </w:r>
            <w:r>
              <w:rPr>
                <w:rFonts w:hint="eastAsia"/>
              </w:rPr>
              <w:t xml:space="preserve"> </w:t>
            </w:r>
            <w:r>
              <w:rPr>
                <w:rFonts w:hint="eastAsia"/>
                <w:szCs w:val="21"/>
              </w:rPr>
              <w:t xml:space="preserve"> 播种量</w:t>
            </w:r>
          </w:p>
        </w:tc>
        <w:tc>
          <w:tcPr>
            <w:tcW w:w="695" w:type="pct"/>
            <w:vAlign w:val="center"/>
          </w:tcPr>
          <w:p w14:paraId="4F8356BE">
            <w:pPr>
              <w:jc w:val="center"/>
              <w:rPr>
                <w:szCs w:val="21"/>
              </w:rPr>
            </w:pPr>
            <w:r>
              <w:rPr>
                <w:rFonts w:hint="eastAsia"/>
                <w:szCs w:val="21"/>
              </w:rPr>
              <w:t>删除</w:t>
            </w:r>
            <w:r>
              <w:rPr>
                <w:szCs w:val="21"/>
              </w:rPr>
              <w:t>4.2.2</w:t>
            </w:r>
            <w:r>
              <w:rPr>
                <w:rFonts w:hint="eastAsia"/>
                <w:szCs w:val="21"/>
              </w:rPr>
              <w:t>（4.2.3已表述）</w:t>
            </w:r>
          </w:p>
        </w:tc>
        <w:tc>
          <w:tcPr>
            <w:tcW w:w="761" w:type="pct"/>
            <w:vAlign w:val="center"/>
          </w:tcPr>
          <w:p w14:paraId="58EF59A2">
            <w:pPr>
              <w:adjustRightInd w:val="0"/>
              <w:snapToGrid w:val="0"/>
              <w:jc w:val="center"/>
              <w:rPr>
                <w:szCs w:val="21"/>
              </w:rPr>
            </w:pPr>
            <w:r>
              <w:rPr>
                <w:rFonts w:hint="eastAsia"/>
                <w:szCs w:val="21"/>
              </w:rPr>
              <w:t>山西农业大学谷子研究所</w:t>
            </w:r>
          </w:p>
        </w:tc>
        <w:tc>
          <w:tcPr>
            <w:tcW w:w="893" w:type="pct"/>
            <w:vAlign w:val="center"/>
          </w:tcPr>
          <w:p w14:paraId="58D7013C">
            <w:pPr>
              <w:adjustRightInd w:val="0"/>
              <w:snapToGrid w:val="0"/>
              <w:jc w:val="center"/>
              <w:rPr>
                <w:szCs w:val="21"/>
              </w:rPr>
            </w:pPr>
            <w:r>
              <w:rPr>
                <w:rFonts w:hint="eastAsia"/>
              </w:rPr>
              <w:t>采纳</w:t>
            </w:r>
          </w:p>
        </w:tc>
        <w:tc>
          <w:tcPr>
            <w:tcW w:w="1067" w:type="pct"/>
            <w:vAlign w:val="center"/>
          </w:tcPr>
          <w:p w14:paraId="3AA4FD81">
            <w:pPr>
              <w:jc w:val="center"/>
              <w:rPr>
                <w:szCs w:val="21"/>
              </w:rPr>
            </w:pPr>
            <w:r>
              <w:rPr>
                <w:szCs w:val="21"/>
              </w:rPr>
              <w:t>无</w:t>
            </w:r>
          </w:p>
        </w:tc>
      </w:tr>
      <w:tr w14:paraId="71A71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pct"/>
            <w:vAlign w:val="center"/>
          </w:tcPr>
          <w:p w14:paraId="0E84D6DD">
            <w:pPr>
              <w:jc w:val="center"/>
              <w:rPr>
                <w:szCs w:val="21"/>
              </w:rPr>
            </w:pPr>
            <w:r>
              <w:rPr>
                <w:szCs w:val="21"/>
              </w:rPr>
              <w:t>4</w:t>
            </w:r>
          </w:p>
        </w:tc>
        <w:tc>
          <w:tcPr>
            <w:tcW w:w="825" w:type="pct"/>
            <w:vAlign w:val="center"/>
          </w:tcPr>
          <w:p w14:paraId="4B723824">
            <w:pPr>
              <w:adjustRightInd w:val="0"/>
              <w:snapToGrid w:val="0"/>
              <w:jc w:val="center"/>
              <w:rPr>
                <w:szCs w:val="21"/>
              </w:rPr>
            </w:pPr>
            <w:r>
              <w:rPr>
                <w:rFonts w:hint="eastAsia"/>
                <w:szCs w:val="21"/>
              </w:rPr>
              <w:t>4.1.4　品种选择</w:t>
            </w:r>
          </w:p>
        </w:tc>
        <w:tc>
          <w:tcPr>
            <w:tcW w:w="695" w:type="pct"/>
            <w:vAlign w:val="center"/>
          </w:tcPr>
          <w:p w14:paraId="316458EA">
            <w:pPr>
              <w:jc w:val="center"/>
              <w:rPr>
                <w:szCs w:val="21"/>
              </w:rPr>
            </w:pPr>
            <w:r>
              <w:rPr>
                <w:rFonts w:hint="eastAsia"/>
                <w:szCs w:val="21"/>
              </w:rPr>
              <w:t>修改为“选用通过国家、省审（认）定适宜本生态区种植的蔓生型菜豆品种。”</w:t>
            </w:r>
          </w:p>
        </w:tc>
        <w:tc>
          <w:tcPr>
            <w:tcW w:w="761" w:type="pct"/>
            <w:vAlign w:val="center"/>
          </w:tcPr>
          <w:p w14:paraId="5689A3D6">
            <w:pPr>
              <w:adjustRightInd w:val="0"/>
              <w:snapToGrid w:val="0"/>
              <w:jc w:val="center"/>
              <w:rPr>
                <w:szCs w:val="21"/>
              </w:rPr>
            </w:pPr>
            <w:r>
              <w:rPr>
                <w:rFonts w:hint="eastAsia"/>
                <w:szCs w:val="21"/>
              </w:rPr>
              <w:t>山西农业大学谷子研究所</w:t>
            </w:r>
          </w:p>
        </w:tc>
        <w:tc>
          <w:tcPr>
            <w:tcW w:w="893" w:type="pct"/>
            <w:vAlign w:val="center"/>
          </w:tcPr>
          <w:p w14:paraId="6BD2AFC0">
            <w:pPr>
              <w:adjustRightInd w:val="0"/>
              <w:snapToGrid w:val="0"/>
              <w:jc w:val="center"/>
            </w:pPr>
            <w:r>
              <w:rPr>
                <w:rFonts w:hint="eastAsia"/>
              </w:rPr>
              <w:t>采纳</w:t>
            </w:r>
          </w:p>
        </w:tc>
        <w:tc>
          <w:tcPr>
            <w:tcW w:w="1067" w:type="pct"/>
            <w:vAlign w:val="center"/>
          </w:tcPr>
          <w:p w14:paraId="1ADDD931">
            <w:pPr>
              <w:jc w:val="center"/>
              <w:rPr>
                <w:szCs w:val="21"/>
              </w:rPr>
            </w:pPr>
            <w:r>
              <w:rPr>
                <w:szCs w:val="21"/>
              </w:rPr>
              <w:t>无</w:t>
            </w:r>
          </w:p>
        </w:tc>
      </w:tr>
      <w:tr w14:paraId="53B99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9" w:type="pct"/>
            <w:vAlign w:val="center"/>
          </w:tcPr>
          <w:p w14:paraId="073F60B3">
            <w:pPr>
              <w:jc w:val="center"/>
              <w:rPr>
                <w:szCs w:val="21"/>
              </w:rPr>
            </w:pPr>
            <w:r>
              <w:rPr>
                <w:rFonts w:hint="eastAsia"/>
                <w:szCs w:val="21"/>
              </w:rPr>
              <w:t>5</w:t>
            </w:r>
          </w:p>
        </w:tc>
        <w:tc>
          <w:tcPr>
            <w:tcW w:w="825" w:type="pct"/>
            <w:vAlign w:val="center"/>
          </w:tcPr>
          <w:p w14:paraId="1C3BC1E4">
            <w:pPr>
              <w:jc w:val="center"/>
              <w:rPr>
                <w:szCs w:val="21"/>
              </w:rPr>
            </w:pPr>
            <w:r>
              <w:rPr>
                <w:rFonts w:hint="eastAsia"/>
                <w:szCs w:val="21"/>
              </w:rPr>
              <w:t>5.1 破除板结</w:t>
            </w:r>
          </w:p>
        </w:tc>
        <w:tc>
          <w:tcPr>
            <w:tcW w:w="695" w:type="pct"/>
            <w:vAlign w:val="center"/>
          </w:tcPr>
          <w:p w14:paraId="3E7AED2E">
            <w:pPr>
              <w:jc w:val="center"/>
              <w:rPr>
                <w:szCs w:val="21"/>
              </w:rPr>
            </w:pPr>
            <w:r>
              <w:rPr>
                <w:rFonts w:hint="eastAsia"/>
                <w:szCs w:val="21"/>
              </w:rPr>
              <w:t>增加机械破板结</w:t>
            </w:r>
          </w:p>
        </w:tc>
        <w:tc>
          <w:tcPr>
            <w:tcW w:w="761" w:type="pct"/>
            <w:vAlign w:val="center"/>
          </w:tcPr>
          <w:p w14:paraId="283C3D89">
            <w:pPr>
              <w:adjustRightInd w:val="0"/>
              <w:snapToGrid w:val="0"/>
              <w:jc w:val="center"/>
              <w:rPr>
                <w:szCs w:val="21"/>
              </w:rPr>
            </w:pPr>
            <w:r>
              <w:rPr>
                <w:rFonts w:hint="eastAsia"/>
                <w:szCs w:val="21"/>
              </w:rPr>
              <w:t>山西农业大学资源环境学院</w:t>
            </w:r>
          </w:p>
        </w:tc>
        <w:tc>
          <w:tcPr>
            <w:tcW w:w="893" w:type="pct"/>
            <w:vAlign w:val="center"/>
          </w:tcPr>
          <w:p w14:paraId="19C1E2E2">
            <w:pPr>
              <w:adjustRightInd w:val="0"/>
              <w:snapToGrid w:val="0"/>
              <w:jc w:val="center"/>
              <w:rPr>
                <w:szCs w:val="21"/>
              </w:rPr>
            </w:pPr>
            <w:r>
              <w:rPr>
                <w:rFonts w:hint="eastAsia"/>
              </w:rPr>
              <w:t>采纳</w:t>
            </w:r>
          </w:p>
        </w:tc>
        <w:tc>
          <w:tcPr>
            <w:tcW w:w="1067" w:type="pct"/>
            <w:vAlign w:val="center"/>
          </w:tcPr>
          <w:p w14:paraId="1C3DC512">
            <w:pPr>
              <w:jc w:val="center"/>
              <w:rPr>
                <w:szCs w:val="21"/>
              </w:rPr>
            </w:pPr>
            <w:r>
              <w:rPr>
                <w:szCs w:val="21"/>
              </w:rPr>
              <w:t>无</w:t>
            </w:r>
          </w:p>
        </w:tc>
      </w:tr>
      <w:tr w14:paraId="610E3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6"/>
          </w:tcPr>
          <w:p w14:paraId="43D4136F">
            <w:pPr>
              <w:rPr>
                <w:szCs w:val="21"/>
              </w:rPr>
            </w:pPr>
            <w:r>
              <w:rPr>
                <w:szCs w:val="21"/>
              </w:rPr>
              <w:t>说明：1.针对明确回复无意见的单位，请在“意见内容”中注明无意见，在“提出单位”列出无意见单位名称。</w:t>
            </w:r>
          </w:p>
          <w:p w14:paraId="06231090">
            <w:pPr>
              <w:ind w:left="357" w:leftChars="170" w:firstLine="210" w:firstLineChars="100"/>
              <w:rPr>
                <w:szCs w:val="21"/>
              </w:rPr>
            </w:pPr>
            <w:r>
              <w:rPr>
                <w:szCs w:val="21"/>
              </w:rPr>
              <w:t>2.发送征求意见单位数</w:t>
            </w:r>
            <w:r>
              <w:rPr>
                <w:szCs w:val="21"/>
                <w:u w:val="single"/>
              </w:rPr>
              <w:t xml:space="preserve"> </w:t>
            </w:r>
            <w:r>
              <w:rPr>
                <w:rFonts w:hint="eastAsia"/>
                <w:szCs w:val="21"/>
                <w:u w:val="single"/>
              </w:rPr>
              <w:t>3</w:t>
            </w:r>
            <w:r>
              <w:rPr>
                <w:szCs w:val="21"/>
                <w:u w:val="single"/>
              </w:rPr>
              <w:t xml:space="preserve"> </w:t>
            </w:r>
            <w:r>
              <w:rPr>
                <w:szCs w:val="21"/>
              </w:rPr>
              <w:t>个，收到征求意见稿回函的单位数</w:t>
            </w:r>
            <w:r>
              <w:rPr>
                <w:szCs w:val="21"/>
                <w:u w:val="single"/>
              </w:rPr>
              <w:t xml:space="preserve"> </w:t>
            </w:r>
            <w:r>
              <w:rPr>
                <w:rFonts w:hint="eastAsia"/>
                <w:szCs w:val="21"/>
                <w:u w:val="single"/>
              </w:rPr>
              <w:t>3</w:t>
            </w:r>
            <w:r>
              <w:rPr>
                <w:szCs w:val="21"/>
                <w:u w:val="single"/>
              </w:rPr>
              <w:t xml:space="preserve"> </w:t>
            </w:r>
            <w:r>
              <w:rPr>
                <w:szCs w:val="21"/>
              </w:rPr>
              <w:t>个，收到征求意见搞并提出意见的单位数</w:t>
            </w:r>
            <w:r>
              <w:rPr>
                <w:szCs w:val="21"/>
                <w:u w:val="single"/>
              </w:rPr>
              <w:t xml:space="preserve"> </w:t>
            </w:r>
            <w:r>
              <w:rPr>
                <w:rFonts w:hint="eastAsia"/>
                <w:szCs w:val="21"/>
                <w:u w:val="single"/>
              </w:rPr>
              <w:t>3</w:t>
            </w:r>
            <w:r>
              <w:rPr>
                <w:szCs w:val="21"/>
                <w:u w:val="single"/>
              </w:rPr>
              <w:t xml:space="preserve"> </w:t>
            </w:r>
            <w:r>
              <w:rPr>
                <w:szCs w:val="21"/>
              </w:rPr>
              <w:t>个，没有回函的单位数</w:t>
            </w:r>
            <w:r>
              <w:rPr>
                <w:szCs w:val="21"/>
                <w:u w:val="single"/>
              </w:rPr>
              <w:t xml:space="preserve"> 0 </w:t>
            </w:r>
            <w:r>
              <w:rPr>
                <w:szCs w:val="21"/>
              </w:rPr>
              <w:t>个，共收到</w:t>
            </w:r>
            <w:r>
              <w:rPr>
                <w:szCs w:val="21"/>
                <w:u w:val="single"/>
              </w:rPr>
              <w:t xml:space="preserve"> </w:t>
            </w:r>
            <w:r>
              <w:rPr>
                <w:rFonts w:hint="eastAsia"/>
                <w:szCs w:val="21"/>
                <w:u w:val="single"/>
              </w:rPr>
              <w:t>5</w:t>
            </w:r>
            <w:r>
              <w:rPr>
                <w:szCs w:val="21"/>
                <w:u w:val="single"/>
              </w:rPr>
              <w:t xml:space="preserve"> </w:t>
            </w:r>
            <w:r>
              <w:rPr>
                <w:szCs w:val="21"/>
              </w:rPr>
              <w:t>条意见，采纳</w:t>
            </w:r>
            <w:r>
              <w:rPr>
                <w:rFonts w:hint="eastAsia"/>
                <w:szCs w:val="21"/>
                <w:u w:val="single"/>
              </w:rPr>
              <w:t>5</w:t>
            </w:r>
            <w:r>
              <w:rPr>
                <w:szCs w:val="21"/>
                <w:u w:val="single"/>
              </w:rPr>
              <w:t xml:space="preserve"> </w:t>
            </w:r>
            <w:r>
              <w:rPr>
                <w:szCs w:val="21"/>
              </w:rPr>
              <w:t>条意见，部分采纳</w:t>
            </w:r>
            <w:r>
              <w:rPr>
                <w:szCs w:val="21"/>
                <w:u w:val="single"/>
              </w:rPr>
              <w:t xml:space="preserve">  </w:t>
            </w:r>
            <w:r>
              <w:rPr>
                <w:rFonts w:hint="eastAsia"/>
                <w:szCs w:val="21"/>
                <w:u w:val="single"/>
              </w:rPr>
              <w:t>0</w:t>
            </w:r>
            <w:r>
              <w:rPr>
                <w:szCs w:val="21"/>
                <w:u w:val="single"/>
              </w:rPr>
              <w:t xml:space="preserve">  </w:t>
            </w:r>
            <w:r>
              <w:rPr>
                <w:szCs w:val="21"/>
              </w:rPr>
              <w:t>条意见，未采纳</w:t>
            </w:r>
            <w:r>
              <w:rPr>
                <w:szCs w:val="21"/>
                <w:u w:val="single"/>
              </w:rPr>
              <w:t xml:space="preserve">  0  </w:t>
            </w:r>
            <w:r>
              <w:rPr>
                <w:szCs w:val="21"/>
              </w:rPr>
              <w:t>条意见。</w:t>
            </w:r>
          </w:p>
        </w:tc>
      </w:tr>
    </w:tbl>
    <w:p w14:paraId="4CB014A8">
      <w:pPr>
        <w:jc w:val="center"/>
        <w:rPr>
          <w:rFonts w:ascii="仿宋_GB2312" w:hAnsi="宋体" w:eastAsia="仿宋_GB2312"/>
          <w:color w:val="0000FF"/>
          <w:sz w:val="24"/>
        </w:rPr>
      </w:pPr>
    </w:p>
    <w:sectPr>
      <w:pgSz w:w="16838" w:h="11906" w:orient="landscape"/>
      <w:pgMar w:top="1803" w:right="1440" w:bottom="1803" w:left="1440" w:header="851" w:footer="992" w:gutter="0"/>
      <w:pgNumType w:start="1"/>
      <w:cols w:space="0" w:num="1"/>
      <w:titlePg/>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ngal">
    <w:altName w:val="Courier New"/>
    <w:panose1 w:val="00000400000000000000"/>
    <w:charset w:val="01"/>
    <w:family w:val="roman"/>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494ED1">
    <w:pPr>
      <w:pStyle w:val="8"/>
      <w:jc w:val="center"/>
    </w:pPr>
    <w:r>
      <w:fldChar w:fldCharType="begin"/>
    </w:r>
    <w:r>
      <w:instrText xml:space="preserve">PAGE   \* MERGEFORMAT</w:instrText>
    </w:r>
    <w:r>
      <w:fldChar w:fldCharType="separate"/>
    </w:r>
    <w:r>
      <w:rPr>
        <w:lang w:val="zh-CN"/>
      </w:rPr>
      <w:t>9</w:t>
    </w:r>
    <w:r>
      <w:fldChar w:fldCharType="end"/>
    </w:r>
  </w:p>
  <w:p w14:paraId="4D7F5210">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B30D03"/>
    <w:multiLevelType w:val="singleLevel"/>
    <w:tmpl w:val="EEB30D03"/>
    <w:lvl w:ilvl="0" w:tentative="0">
      <w:start w:val="6"/>
      <w:numFmt w:val="decimal"/>
      <w:suff w:val="nothing"/>
      <w:lvlText w:val="%1、"/>
      <w:lvlJc w:val="left"/>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0"/>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1"/>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32"/>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9"/>
  <w:displayVerticalDrawingGridEvery w:val="2"/>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sbQ0MzA3MTMwMjA0MTNS0lEKTi0uzszPAykwNK8FANE0st0tAAAA"/>
    <w:docVar w:name="commondata" w:val="eyJoZGlkIjoiMDZlZDA0ZWRkZTBhYTBkMjhiMWJiODY0NGNmYjdiMGEifQ=="/>
  </w:docVars>
  <w:rsids>
    <w:rsidRoot w:val="00636FC5"/>
    <w:rsid w:val="00001C9C"/>
    <w:rsid w:val="00002121"/>
    <w:rsid w:val="00003D4E"/>
    <w:rsid w:val="00003DFC"/>
    <w:rsid w:val="000052BB"/>
    <w:rsid w:val="0001430A"/>
    <w:rsid w:val="000173E8"/>
    <w:rsid w:val="000203B7"/>
    <w:rsid w:val="00021FC1"/>
    <w:rsid w:val="00023326"/>
    <w:rsid w:val="00024D73"/>
    <w:rsid w:val="00025BA5"/>
    <w:rsid w:val="00035FEB"/>
    <w:rsid w:val="000443C0"/>
    <w:rsid w:val="00045395"/>
    <w:rsid w:val="00045C4C"/>
    <w:rsid w:val="000471FB"/>
    <w:rsid w:val="00051B0A"/>
    <w:rsid w:val="00054BA0"/>
    <w:rsid w:val="000566CE"/>
    <w:rsid w:val="000604EC"/>
    <w:rsid w:val="00061514"/>
    <w:rsid w:val="00064E75"/>
    <w:rsid w:val="00073F3B"/>
    <w:rsid w:val="000754B9"/>
    <w:rsid w:val="00080D84"/>
    <w:rsid w:val="00087B70"/>
    <w:rsid w:val="00092ACD"/>
    <w:rsid w:val="0009360F"/>
    <w:rsid w:val="0009699A"/>
    <w:rsid w:val="000974DE"/>
    <w:rsid w:val="000A23F9"/>
    <w:rsid w:val="000A281F"/>
    <w:rsid w:val="000A4315"/>
    <w:rsid w:val="000A6DCA"/>
    <w:rsid w:val="000B25DB"/>
    <w:rsid w:val="000B59DE"/>
    <w:rsid w:val="000B721B"/>
    <w:rsid w:val="000C1548"/>
    <w:rsid w:val="000C203B"/>
    <w:rsid w:val="000C24FA"/>
    <w:rsid w:val="000C2F16"/>
    <w:rsid w:val="000C3919"/>
    <w:rsid w:val="000C5AE1"/>
    <w:rsid w:val="000C62FE"/>
    <w:rsid w:val="000C7472"/>
    <w:rsid w:val="000D784D"/>
    <w:rsid w:val="000D7E22"/>
    <w:rsid w:val="000E0029"/>
    <w:rsid w:val="000E0518"/>
    <w:rsid w:val="000E5DDF"/>
    <w:rsid w:val="000F027B"/>
    <w:rsid w:val="000F061B"/>
    <w:rsid w:val="001001FD"/>
    <w:rsid w:val="001016D0"/>
    <w:rsid w:val="00104D9E"/>
    <w:rsid w:val="00106074"/>
    <w:rsid w:val="001079E4"/>
    <w:rsid w:val="00114B28"/>
    <w:rsid w:val="00117426"/>
    <w:rsid w:val="0012074E"/>
    <w:rsid w:val="00123FE9"/>
    <w:rsid w:val="00130B06"/>
    <w:rsid w:val="00136B80"/>
    <w:rsid w:val="00140883"/>
    <w:rsid w:val="001422D2"/>
    <w:rsid w:val="00142DCA"/>
    <w:rsid w:val="001451F2"/>
    <w:rsid w:val="00151633"/>
    <w:rsid w:val="0015296B"/>
    <w:rsid w:val="00153E55"/>
    <w:rsid w:val="00155235"/>
    <w:rsid w:val="0016381F"/>
    <w:rsid w:val="0016534D"/>
    <w:rsid w:val="001653E3"/>
    <w:rsid w:val="001657F4"/>
    <w:rsid w:val="00170AB6"/>
    <w:rsid w:val="00184DC2"/>
    <w:rsid w:val="001861B7"/>
    <w:rsid w:val="0018685E"/>
    <w:rsid w:val="00195264"/>
    <w:rsid w:val="001A0041"/>
    <w:rsid w:val="001A0916"/>
    <w:rsid w:val="001A481F"/>
    <w:rsid w:val="001A53BA"/>
    <w:rsid w:val="001A5F30"/>
    <w:rsid w:val="001C0311"/>
    <w:rsid w:val="001C1B81"/>
    <w:rsid w:val="001C2BE8"/>
    <w:rsid w:val="001C3ACE"/>
    <w:rsid w:val="001C74C9"/>
    <w:rsid w:val="001D06C4"/>
    <w:rsid w:val="001D0957"/>
    <w:rsid w:val="001D6D82"/>
    <w:rsid w:val="001D7128"/>
    <w:rsid w:val="001E486F"/>
    <w:rsid w:val="001F695E"/>
    <w:rsid w:val="001F7C13"/>
    <w:rsid w:val="001F7CF9"/>
    <w:rsid w:val="0020132D"/>
    <w:rsid w:val="00201805"/>
    <w:rsid w:val="002042AE"/>
    <w:rsid w:val="002042E4"/>
    <w:rsid w:val="00211530"/>
    <w:rsid w:val="00213570"/>
    <w:rsid w:val="00214AC0"/>
    <w:rsid w:val="00217A11"/>
    <w:rsid w:val="002216A8"/>
    <w:rsid w:val="00222DF8"/>
    <w:rsid w:val="00223D94"/>
    <w:rsid w:val="00226A9A"/>
    <w:rsid w:val="00226FD3"/>
    <w:rsid w:val="00227FEE"/>
    <w:rsid w:val="00230DF6"/>
    <w:rsid w:val="00233658"/>
    <w:rsid w:val="00233B76"/>
    <w:rsid w:val="00243164"/>
    <w:rsid w:val="00243B8F"/>
    <w:rsid w:val="00243DA6"/>
    <w:rsid w:val="00243E19"/>
    <w:rsid w:val="0024647F"/>
    <w:rsid w:val="00247BC6"/>
    <w:rsid w:val="002508ED"/>
    <w:rsid w:val="00252DE5"/>
    <w:rsid w:val="002606D8"/>
    <w:rsid w:val="00261187"/>
    <w:rsid w:val="00267EEC"/>
    <w:rsid w:val="00270C24"/>
    <w:rsid w:val="00273B1D"/>
    <w:rsid w:val="002746DC"/>
    <w:rsid w:val="00276515"/>
    <w:rsid w:val="00277378"/>
    <w:rsid w:val="00277EC1"/>
    <w:rsid w:val="0028564F"/>
    <w:rsid w:val="00285ABA"/>
    <w:rsid w:val="002956C1"/>
    <w:rsid w:val="002B52FE"/>
    <w:rsid w:val="002B6A3E"/>
    <w:rsid w:val="002B7335"/>
    <w:rsid w:val="002C169F"/>
    <w:rsid w:val="002C2F7C"/>
    <w:rsid w:val="002C3C6B"/>
    <w:rsid w:val="002D3E11"/>
    <w:rsid w:val="002D5921"/>
    <w:rsid w:val="002D5D96"/>
    <w:rsid w:val="002E04E6"/>
    <w:rsid w:val="002E5A2F"/>
    <w:rsid w:val="002E6C48"/>
    <w:rsid w:val="003024F7"/>
    <w:rsid w:val="00302FAD"/>
    <w:rsid w:val="0031028C"/>
    <w:rsid w:val="003150DE"/>
    <w:rsid w:val="00315657"/>
    <w:rsid w:val="003158E5"/>
    <w:rsid w:val="003221E9"/>
    <w:rsid w:val="00324319"/>
    <w:rsid w:val="003259EC"/>
    <w:rsid w:val="00330396"/>
    <w:rsid w:val="003311E6"/>
    <w:rsid w:val="0033187F"/>
    <w:rsid w:val="00332318"/>
    <w:rsid w:val="003333ED"/>
    <w:rsid w:val="0033472D"/>
    <w:rsid w:val="00336488"/>
    <w:rsid w:val="003418FC"/>
    <w:rsid w:val="00342A32"/>
    <w:rsid w:val="003439A2"/>
    <w:rsid w:val="00344D61"/>
    <w:rsid w:val="003461C7"/>
    <w:rsid w:val="003469EC"/>
    <w:rsid w:val="00347085"/>
    <w:rsid w:val="003509C0"/>
    <w:rsid w:val="00350A7C"/>
    <w:rsid w:val="003556E4"/>
    <w:rsid w:val="0036351B"/>
    <w:rsid w:val="00366032"/>
    <w:rsid w:val="003705E8"/>
    <w:rsid w:val="00370A40"/>
    <w:rsid w:val="00371543"/>
    <w:rsid w:val="003716D4"/>
    <w:rsid w:val="0038416F"/>
    <w:rsid w:val="0038628E"/>
    <w:rsid w:val="00387285"/>
    <w:rsid w:val="00387475"/>
    <w:rsid w:val="003925B2"/>
    <w:rsid w:val="00394B25"/>
    <w:rsid w:val="0039560A"/>
    <w:rsid w:val="003A21FE"/>
    <w:rsid w:val="003A5C65"/>
    <w:rsid w:val="003A7D51"/>
    <w:rsid w:val="003B060C"/>
    <w:rsid w:val="003B0DE6"/>
    <w:rsid w:val="003B17F4"/>
    <w:rsid w:val="003B1D77"/>
    <w:rsid w:val="003B7388"/>
    <w:rsid w:val="003B7D6F"/>
    <w:rsid w:val="003C3911"/>
    <w:rsid w:val="003D068D"/>
    <w:rsid w:val="003D3463"/>
    <w:rsid w:val="003D528A"/>
    <w:rsid w:val="003D6374"/>
    <w:rsid w:val="003D6FB0"/>
    <w:rsid w:val="003E0207"/>
    <w:rsid w:val="003E24D6"/>
    <w:rsid w:val="003E2D3A"/>
    <w:rsid w:val="003F035B"/>
    <w:rsid w:val="003F1FC6"/>
    <w:rsid w:val="003F390A"/>
    <w:rsid w:val="003F3EBE"/>
    <w:rsid w:val="00402952"/>
    <w:rsid w:val="004047A2"/>
    <w:rsid w:val="00404C7A"/>
    <w:rsid w:val="00405A2A"/>
    <w:rsid w:val="00407C56"/>
    <w:rsid w:val="00410C0E"/>
    <w:rsid w:val="00416404"/>
    <w:rsid w:val="00420EB4"/>
    <w:rsid w:val="0042235B"/>
    <w:rsid w:val="004240E3"/>
    <w:rsid w:val="00431DBC"/>
    <w:rsid w:val="00433525"/>
    <w:rsid w:val="004343CC"/>
    <w:rsid w:val="00435EF8"/>
    <w:rsid w:val="00437065"/>
    <w:rsid w:val="00437350"/>
    <w:rsid w:val="00441A8F"/>
    <w:rsid w:val="00441B8A"/>
    <w:rsid w:val="0044501D"/>
    <w:rsid w:val="004450AB"/>
    <w:rsid w:val="00451A7E"/>
    <w:rsid w:val="004547E0"/>
    <w:rsid w:val="004564F1"/>
    <w:rsid w:val="00461F43"/>
    <w:rsid w:val="0046480C"/>
    <w:rsid w:val="00464ABA"/>
    <w:rsid w:val="004678E7"/>
    <w:rsid w:val="004747E5"/>
    <w:rsid w:val="004747FE"/>
    <w:rsid w:val="004770BA"/>
    <w:rsid w:val="0048050F"/>
    <w:rsid w:val="00485AB3"/>
    <w:rsid w:val="0049020D"/>
    <w:rsid w:val="004908A7"/>
    <w:rsid w:val="004939D3"/>
    <w:rsid w:val="004943B6"/>
    <w:rsid w:val="00494F67"/>
    <w:rsid w:val="00495DCD"/>
    <w:rsid w:val="004A0CC0"/>
    <w:rsid w:val="004A1579"/>
    <w:rsid w:val="004A2295"/>
    <w:rsid w:val="004A2555"/>
    <w:rsid w:val="004A2BCA"/>
    <w:rsid w:val="004A6D81"/>
    <w:rsid w:val="004A7AF0"/>
    <w:rsid w:val="004A7E24"/>
    <w:rsid w:val="004B1830"/>
    <w:rsid w:val="004B20E5"/>
    <w:rsid w:val="004B7966"/>
    <w:rsid w:val="004B7B8C"/>
    <w:rsid w:val="004D2E1B"/>
    <w:rsid w:val="004D4066"/>
    <w:rsid w:val="004D62AF"/>
    <w:rsid w:val="004E42DA"/>
    <w:rsid w:val="004E45D5"/>
    <w:rsid w:val="004E4A20"/>
    <w:rsid w:val="004E531D"/>
    <w:rsid w:val="004E5AFA"/>
    <w:rsid w:val="004F0290"/>
    <w:rsid w:val="004F10CE"/>
    <w:rsid w:val="004F4490"/>
    <w:rsid w:val="004F4EF5"/>
    <w:rsid w:val="004F6A63"/>
    <w:rsid w:val="005043C2"/>
    <w:rsid w:val="00504A7B"/>
    <w:rsid w:val="0050538B"/>
    <w:rsid w:val="00507723"/>
    <w:rsid w:val="005119FA"/>
    <w:rsid w:val="00513F60"/>
    <w:rsid w:val="00515750"/>
    <w:rsid w:val="005165DC"/>
    <w:rsid w:val="00517B32"/>
    <w:rsid w:val="00532EC9"/>
    <w:rsid w:val="0053409C"/>
    <w:rsid w:val="0053513E"/>
    <w:rsid w:val="005354BE"/>
    <w:rsid w:val="00535FC3"/>
    <w:rsid w:val="00536728"/>
    <w:rsid w:val="00536A00"/>
    <w:rsid w:val="005415DC"/>
    <w:rsid w:val="0056071C"/>
    <w:rsid w:val="0056323B"/>
    <w:rsid w:val="00573771"/>
    <w:rsid w:val="0057778E"/>
    <w:rsid w:val="005811F3"/>
    <w:rsid w:val="00582DEA"/>
    <w:rsid w:val="0058331F"/>
    <w:rsid w:val="00583362"/>
    <w:rsid w:val="0058589E"/>
    <w:rsid w:val="0059142D"/>
    <w:rsid w:val="005915E3"/>
    <w:rsid w:val="00597C60"/>
    <w:rsid w:val="005A0ED2"/>
    <w:rsid w:val="005A3C89"/>
    <w:rsid w:val="005A3FD9"/>
    <w:rsid w:val="005A42A5"/>
    <w:rsid w:val="005B07C8"/>
    <w:rsid w:val="005B1473"/>
    <w:rsid w:val="005B1C50"/>
    <w:rsid w:val="005B23EE"/>
    <w:rsid w:val="005B4A6F"/>
    <w:rsid w:val="005B5071"/>
    <w:rsid w:val="005B56B4"/>
    <w:rsid w:val="005B59D8"/>
    <w:rsid w:val="005B7CA6"/>
    <w:rsid w:val="005C1F9E"/>
    <w:rsid w:val="005C6A40"/>
    <w:rsid w:val="005C7B82"/>
    <w:rsid w:val="005D05BA"/>
    <w:rsid w:val="005D1AEA"/>
    <w:rsid w:val="005D4D20"/>
    <w:rsid w:val="005D77D9"/>
    <w:rsid w:val="005E46BE"/>
    <w:rsid w:val="005E5E7B"/>
    <w:rsid w:val="005F020B"/>
    <w:rsid w:val="005F3B9E"/>
    <w:rsid w:val="005F3DB9"/>
    <w:rsid w:val="005F5D65"/>
    <w:rsid w:val="005F6717"/>
    <w:rsid w:val="005F76FB"/>
    <w:rsid w:val="00600125"/>
    <w:rsid w:val="00604181"/>
    <w:rsid w:val="00604E2D"/>
    <w:rsid w:val="0060567D"/>
    <w:rsid w:val="006076CB"/>
    <w:rsid w:val="00611A58"/>
    <w:rsid w:val="00614AA4"/>
    <w:rsid w:val="00614D10"/>
    <w:rsid w:val="00615E3A"/>
    <w:rsid w:val="00616FC1"/>
    <w:rsid w:val="00620469"/>
    <w:rsid w:val="006206EA"/>
    <w:rsid w:val="00630F9D"/>
    <w:rsid w:val="0063154F"/>
    <w:rsid w:val="00633B19"/>
    <w:rsid w:val="00633EF1"/>
    <w:rsid w:val="00636FC5"/>
    <w:rsid w:val="006400BA"/>
    <w:rsid w:val="00641B9A"/>
    <w:rsid w:val="006423BB"/>
    <w:rsid w:val="00642628"/>
    <w:rsid w:val="006467CA"/>
    <w:rsid w:val="00647F35"/>
    <w:rsid w:val="006500A2"/>
    <w:rsid w:val="0066172F"/>
    <w:rsid w:val="00662AD1"/>
    <w:rsid w:val="00663745"/>
    <w:rsid w:val="0066438B"/>
    <w:rsid w:val="00665623"/>
    <w:rsid w:val="00665D0F"/>
    <w:rsid w:val="00670B31"/>
    <w:rsid w:val="00673620"/>
    <w:rsid w:val="006756E6"/>
    <w:rsid w:val="0068404D"/>
    <w:rsid w:val="00691427"/>
    <w:rsid w:val="006915F6"/>
    <w:rsid w:val="006918FB"/>
    <w:rsid w:val="00693173"/>
    <w:rsid w:val="0069678A"/>
    <w:rsid w:val="0069777F"/>
    <w:rsid w:val="0069793A"/>
    <w:rsid w:val="006A4784"/>
    <w:rsid w:val="006A5225"/>
    <w:rsid w:val="006A7107"/>
    <w:rsid w:val="006B3E2E"/>
    <w:rsid w:val="006C472E"/>
    <w:rsid w:val="006C65DA"/>
    <w:rsid w:val="006C7054"/>
    <w:rsid w:val="006D0D69"/>
    <w:rsid w:val="006D0FBE"/>
    <w:rsid w:val="006D1116"/>
    <w:rsid w:val="006D22F2"/>
    <w:rsid w:val="006E02DD"/>
    <w:rsid w:val="006E1129"/>
    <w:rsid w:val="006E69B1"/>
    <w:rsid w:val="006F2412"/>
    <w:rsid w:val="00702811"/>
    <w:rsid w:val="00706BC0"/>
    <w:rsid w:val="007138B0"/>
    <w:rsid w:val="00713D54"/>
    <w:rsid w:val="00715399"/>
    <w:rsid w:val="00720C80"/>
    <w:rsid w:val="007230A0"/>
    <w:rsid w:val="0072360B"/>
    <w:rsid w:val="0072435E"/>
    <w:rsid w:val="007249D5"/>
    <w:rsid w:val="00727F5F"/>
    <w:rsid w:val="00730F68"/>
    <w:rsid w:val="00730F70"/>
    <w:rsid w:val="0073199C"/>
    <w:rsid w:val="00734037"/>
    <w:rsid w:val="0074190C"/>
    <w:rsid w:val="00755C73"/>
    <w:rsid w:val="00757A64"/>
    <w:rsid w:val="00760C71"/>
    <w:rsid w:val="00763867"/>
    <w:rsid w:val="00767B97"/>
    <w:rsid w:val="0077176C"/>
    <w:rsid w:val="007722DC"/>
    <w:rsid w:val="00772C34"/>
    <w:rsid w:val="00773A15"/>
    <w:rsid w:val="007743EC"/>
    <w:rsid w:val="00776852"/>
    <w:rsid w:val="00776D66"/>
    <w:rsid w:val="00777B27"/>
    <w:rsid w:val="00781B23"/>
    <w:rsid w:val="00783D51"/>
    <w:rsid w:val="0079164C"/>
    <w:rsid w:val="00791BB3"/>
    <w:rsid w:val="0079399E"/>
    <w:rsid w:val="00795AB4"/>
    <w:rsid w:val="007975E1"/>
    <w:rsid w:val="007A295F"/>
    <w:rsid w:val="007A65A0"/>
    <w:rsid w:val="007B0D2E"/>
    <w:rsid w:val="007B2777"/>
    <w:rsid w:val="007B2968"/>
    <w:rsid w:val="007B6E7B"/>
    <w:rsid w:val="007B7C2A"/>
    <w:rsid w:val="007C39F2"/>
    <w:rsid w:val="007C3AD6"/>
    <w:rsid w:val="007C3D08"/>
    <w:rsid w:val="007C3D18"/>
    <w:rsid w:val="007D08C1"/>
    <w:rsid w:val="007D31A8"/>
    <w:rsid w:val="007D6A21"/>
    <w:rsid w:val="007E0C59"/>
    <w:rsid w:val="007E1856"/>
    <w:rsid w:val="007E6D31"/>
    <w:rsid w:val="007E73CF"/>
    <w:rsid w:val="007E75EE"/>
    <w:rsid w:val="007F0709"/>
    <w:rsid w:val="007F40D8"/>
    <w:rsid w:val="007F6F9C"/>
    <w:rsid w:val="00800843"/>
    <w:rsid w:val="008024F2"/>
    <w:rsid w:val="00807629"/>
    <w:rsid w:val="008106DA"/>
    <w:rsid w:val="008125DA"/>
    <w:rsid w:val="00817229"/>
    <w:rsid w:val="00820A36"/>
    <w:rsid w:val="00820DFB"/>
    <w:rsid w:val="00821F58"/>
    <w:rsid w:val="008263E7"/>
    <w:rsid w:val="008306CD"/>
    <w:rsid w:val="00840427"/>
    <w:rsid w:val="008449F5"/>
    <w:rsid w:val="0084546C"/>
    <w:rsid w:val="008471EC"/>
    <w:rsid w:val="00851097"/>
    <w:rsid w:val="008519FE"/>
    <w:rsid w:val="00856ECE"/>
    <w:rsid w:val="008607BE"/>
    <w:rsid w:val="00862581"/>
    <w:rsid w:val="00863825"/>
    <w:rsid w:val="008729C9"/>
    <w:rsid w:val="008741E0"/>
    <w:rsid w:val="00874B45"/>
    <w:rsid w:val="008765A2"/>
    <w:rsid w:val="00880EC6"/>
    <w:rsid w:val="00884A91"/>
    <w:rsid w:val="00893008"/>
    <w:rsid w:val="008935AB"/>
    <w:rsid w:val="008935DA"/>
    <w:rsid w:val="008A1B81"/>
    <w:rsid w:val="008A36A4"/>
    <w:rsid w:val="008A699E"/>
    <w:rsid w:val="008A6D37"/>
    <w:rsid w:val="008B7F7F"/>
    <w:rsid w:val="008C1D81"/>
    <w:rsid w:val="008C4583"/>
    <w:rsid w:val="008C7076"/>
    <w:rsid w:val="008E256F"/>
    <w:rsid w:val="008E454E"/>
    <w:rsid w:val="008F1AAD"/>
    <w:rsid w:val="008F5288"/>
    <w:rsid w:val="008F692A"/>
    <w:rsid w:val="009070FA"/>
    <w:rsid w:val="0091113A"/>
    <w:rsid w:val="00912A16"/>
    <w:rsid w:val="0091539E"/>
    <w:rsid w:val="00915F25"/>
    <w:rsid w:val="009166F0"/>
    <w:rsid w:val="00916E3B"/>
    <w:rsid w:val="00920385"/>
    <w:rsid w:val="009211BD"/>
    <w:rsid w:val="0092160B"/>
    <w:rsid w:val="0092627B"/>
    <w:rsid w:val="00934199"/>
    <w:rsid w:val="009358E1"/>
    <w:rsid w:val="00936A6B"/>
    <w:rsid w:val="009378FB"/>
    <w:rsid w:val="00942A60"/>
    <w:rsid w:val="00950481"/>
    <w:rsid w:val="00953792"/>
    <w:rsid w:val="00955ABE"/>
    <w:rsid w:val="00962F73"/>
    <w:rsid w:val="009705E2"/>
    <w:rsid w:val="00975940"/>
    <w:rsid w:val="00976BC0"/>
    <w:rsid w:val="0098254B"/>
    <w:rsid w:val="00983D55"/>
    <w:rsid w:val="0098417D"/>
    <w:rsid w:val="00986914"/>
    <w:rsid w:val="009875C5"/>
    <w:rsid w:val="00991DF6"/>
    <w:rsid w:val="0099572B"/>
    <w:rsid w:val="00996196"/>
    <w:rsid w:val="0099787D"/>
    <w:rsid w:val="009A2FA1"/>
    <w:rsid w:val="009B137B"/>
    <w:rsid w:val="009B4E35"/>
    <w:rsid w:val="009C3329"/>
    <w:rsid w:val="009C558A"/>
    <w:rsid w:val="009C596B"/>
    <w:rsid w:val="009C5E73"/>
    <w:rsid w:val="009C744B"/>
    <w:rsid w:val="009D5C90"/>
    <w:rsid w:val="009D7ADE"/>
    <w:rsid w:val="009E274A"/>
    <w:rsid w:val="009E6244"/>
    <w:rsid w:val="009F0AC5"/>
    <w:rsid w:val="009F1169"/>
    <w:rsid w:val="009F374D"/>
    <w:rsid w:val="009F39E8"/>
    <w:rsid w:val="009F4BA5"/>
    <w:rsid w:val="009F530F"/>
    <w:rsid w:val="009F75FD"/>
    <w:rsid w:val="00A03790"/>
    <w:rsid w:val="00A04FE7"/>
    <w:rsid w:val="00A15163"/>
    <w:rsid w:val="00A210A2"/>
    <w:rsid w:val="00A2176F"/>
    <w:rsid w:val="00A25526"/>
    <w:rsid w:val="00A3098A"/>
    <w:rsid w:val="00A30ABC"/>
    <w:rsid w:val="00A31F81"/>
    <w:rsid w:val="00A3511E"/>
    <w:rsid w:val="00A37819"/>
    <w:rsid w:val="00A4435A"/>
    <w:rsid w:val="00A4451F"/>
    <w:rsid w:val="00A46A80"/>
    <w:rsid w:val="00A52D3C"/>
    <w:rsid w:val="00A53139"/>
    <w:rsid w:val="00A53AA5"/>
    <w:rsid w:val="00A553E7"/>
    <w:rsid w:val="00A62ED4"/>
    <w:rsid w:val="00A6637E"/>
    <w:rsid w:val="00A6677C"/>
    <w:rsid w:val="00A70934"/>
    <w:rsid w:val="00A73148"/>
    <w:rsid w:val="00A74F2B"/>
    <w:rsid w:val="00A8184F"/>
    <w:rsid w:val="00A83B01"/>
    <w:rsid w:val="00A90665"/>
    <w:rsid w:val="00A90B3A"/>
    <w:rsid w:val="00A935E8"/>
    <w:rsid w:val="00A9450A"/>
    <w:rsid w:val="00A9569D"/>
    <w:rsid w:val="00AA1B4D"/>
    <w:rsid w:val="00AA538B"/>
    <w:rsid w:val="00AA685C"/>
    <w:rsid w:val="00AB131F"/>
    <w:rsid w:val="00AB297F"/>
    <w:rsid w:val="00AB4A9B"/>
    <w:rsid w:val="00AC0AF2"/>
    <w:rsid w:val="00AC2568"/>
    <w:rsid w:val="00AC2D3C"/>
    <w:rsid w:val="00AC7446"/>
    <w:rsid w:val="00AD10B8"/>
    <w:rsid w:val="00AD3A0F"/>
    <w:rsid w:val="00AD6B94"/>
    <w:rsid w:val="00AE0C24"/>
    <w:rsid w:val="00AE2EFA"/>
    <w:rsid w:val="00AF0D1C"/>
    <w:rsid w:val="00AF58B6"/>
    <w:rsid w:val="00B01F81"/>
    <w:rsid w:val="00B03A6D"/>
    <w:rsid w:val="00B04CAD"/>
    <w:rsid w:val="00B04FD0"/>
    <w:rsid w:val="00B071E5"/>
    <w:rsid w:val="00B104BD"/>
    <w:rsid w:val="00B1146C"/>
    <w:rsid w:val="00B130AF"/>
    <w:rsid w:val="00B2108B"/>
    <w:rsid w:val="00B22B39"/>
    <w:rsid w:val="00B24ED8"/>
    <w:rsid w:val="00B271DE"/>
    <w:rsid w:val="00B27F8A"/>
    <w:rsid w:val="00B31746"/>
    <w:rsid w:val="00B3317B"/>
    <w:rsid w:val="00B34F05"/>
    <w:rsid w:val="00B34F87"/>
    <w:rsid w:val="00B36208"/>
    <w:rsid w:val="00B36550"/>
    <w:rsid w:val="00B436FB"/>
    <w:rsid w:val="00B43960"/>
    <w:rsid w:val="00B45484"/>
    <w:rsid w:val="00B503CA"/>
    <w:rsid w:val="00B5364D"/>
    <w:rsid w:val="00B56043"/>
    <w:rsid w:val="00B64011"/>
    <w:rsid w:val="00B64BB6"/>
    <w:rsid w:val="00B67E1C"/>
    <w:rsid w:val="00B767B8"/>
    <w:rsid w:val="00B77A1D"/>
    <w:rsid w:val="00B80ADA"/>
    <w:rsid w:val="00B8370A"/>
    <w:rsid w:val="00B8497F"/>
    <w:rsid w:val="00B84A2E"/>
    <w:rsid w:val="00B85CE2"/>
    <w:rsid w:val="00B877F0"/>
    <w:rsid w:val="00B93334"/>
    <w:rsid w:val="00B93351"/>
    <w:rsid w:val="00B95E63"/>
    <w:rsid w:val="00B96E91"/>
    <w:rsid w:val="00BA2CDB"/>
    <w:rsid w:val="00BA3C87"/>
    <w:rsid w:val="00BA595B"/>
    <w:rsid w:val="00BA7A98"/>
    <w:rsid w:val="00BB1509"/>
    <w:rsid w:val="00BB2959"/>
    <w:rsid w:val="00BB6698"/>
    <w:rsid w:val="00BB6BC4"/>
    <w:rsid w:val="00BC150A"/>
    <w:rsid w:val="00BC40A2"/>
    <w:rsid w:val="00BC4363"/>
    <w:rsid w:val="00BC5FAC"/>
    <w:rsid w:val="00BD52EB"/>
    <w:rsid w:val="00BD5606"/>
    <w:rsid w:val="00BE2554"/>
    <w:rsid w:val="00BE3B52"/>
    <w:rsid w:val="00BE465C"/>
    <w:rsid w:val="00BE6560"/>
    <w:rsid w:val="00BF0082"/>
    <w:rsid w:val="00BF3E84"/>
    <w:rsid w:val="00C0419D"/>
    <w:rsid w:val="00C041C9"/>
    <w:rsid w:val="00C05123"/>
    <w:rsid w:val="00C06C73"/>
    <w:rsid w:val="00C15323"/>
    <w:rsid w:val="00C21910"/>
    <w:rsid w:val="00C3286F"/>
    <w:rsid w:val="00C3299F"/>
    <w:rsid w:val="00C33013"/>
    <w:rsid w:val="00C34202"/>
    <w:rsid w:val="00C3431C"/>
    <w:rsid w:val="00C40E91"/>
    <w:rsid w:val="00C43949"/>
    <w:rsid w:val="00C459D1"/>
    <w:rsid w:val="00C505BD"/>
    <w:rsid w:val="00C5200B"/>
    <w:rsid w:val="00C561D9"/>
    <w:rsid w:val="00C565ED"/>
    <w:rsid w:val="00C56665"/>
    <w:rsid w:val="00C6011E"/>
    <w:rsid w:val="00C65016"/>
    <w:rsid w:val="00C665D4"/>
    <w:rsid w:val="00C7245E"/>
    <w:rsid w:val="00C758B1"/>
    <w:rsid w:val="00C76C16"/>
    <w:rsid w:val="00C77D84"/>
    <w:rsid w:val="00C77F9D"/>
    <w:rsid w:val="00C815C4"/>
    <w:rsid w:val="00C84B6C"/>
    <w:rsid w:val="00C93AC5"/>
    <w:rsid w:val="00C97474"/>
    <w:rsid w:val="00CA0F6E"/>
    <w:rsid w:val="00CA1614"/>
    <w:rsid w:val="00CA54AC"/>
    <w:rsid w:val="00CA746E"/>
    <w:rsid w:val="00CA7B78"/>
    <w:rsid w:val="00CB117C"/>
    <w:rsid w:val="00CC297A"/>
    <w:rsid w:val="00CC3B0C"/>
    <w:rsid w:val="00CD687E"/>
    <w:rsid w:val="00CD6BB6"/>
    <w:rsid w:val="00CE3B64"/>
    <w:rsid w:val="00CE7C77"/>
    <w:rsid w:val="00CF763D"/>
    <w:rsid w:val="00D002E5"/>
    <w:rsid w:val="00D020CC"/>
    <w:rsid w:val="00D02862"/>
    <w:rsid w:val="00D042CB"/>
    <w:rsid w:val="00D0713F"/>
    <w:rsid w:val="00D10633"/>
    <w:rsid w:val="00D10DC3"/>
    <w:rsid w:val="00D2104E"/>
    <w:rsid w:val="00D211A9"/>
    <w:rsid w:val="00D21F20"/>
    <w:rsid w:val="00D259BF"/>
    <w:rsid w:val="00D26281"/>
    <w:rsid w:val="00D2689C"/>
    <w:rsid w:val="00D27F7C"/>
    <w:rsid w:val="00D35065"/>
    <w:rsid w:val="00D450DC"/>
    <w:rsid w:val="00D45379"/>
    <w:rsid w:val="00D46020"/>
    <w:rsid w:val="00D564C5"/>
    <w:rsid w:val="00D56B74"/>
    <w:rsid w:val="00D57A84"/>
    <w:rsid w:val="00D6022E"/>
    <w:rsid w:val="00D665A9"/>
    <w:rsid w:val="00D72C03"/>
    <w:rsid w:val="00D753F7"/>
    <w:rsid w:val="00D81CD3"/>
    <w:rsid w:val="00D82945"/>
    <w:rsid w:val="00D9062C"/>
    <w:rsid w:val="00D91C3A"/>
    <w:rsid w:val="00D93605"/>
    <w:rsid w:val="00D96096"/>
    <w:rsid w:val="00D9617E"/>
    <w:rsid w:val="00DA4AF8"/>
    <w:rsid w:val="00DA56D4"/>
    <w:rsid w:val="00DB06BE"/>
    <w:rsid w:val="00DB07A4"/>
    <w:rsid w:val="00DB0DAB"/>
    <w:rsid w:val="00DB2837"/>
    <w:rsid w:val="00DB2D8F"/>
    <w:rsid w:val="00DB4B2E"/>
    <w:rsid w:val="00DB6514"/>
    <w:rsid w:val="00DB6A89"/>
    <w:rsid w:val="00DC10BD"/>
    <w:rsid w:val="00DC266B"/>
    <w:rsid w:val="00DC4130"/>
    <w:rsid w:val="00DC57B3"/>
    <w:rsid w:val="00DD18A1"/>
    <w:rsid w:val="00DD2EE2"/>
    <w:rsid w:val="00DD4471"/>
    <w:rsid w:val="00DE1121"/>
    <w:rsid w:val="00DE552D"/>
    <w:rsid w:val="00DE5BA8"/>
    <w:rsid w:val="00DE6536"/>
    <w:rsid w:val="00DE7291"/>
    <w:rsid w:val="00DE73B5"/>
    <w:rsid w:val="00DE75D5"/>
    <w:rsid w:val="00DE7809"/>
    <w:rsid w:val="00DF1194"/>
    <w:rsid w:val="00DF30C4"/>
    <w:rsid w:val="00DF3AFE"/>
    <w:rsid w:val="00DF4B68"/>
    <w:rsid w:val="00E0040C"/>
    <w:rsid w:val="00E05868"/>
    <w:rsid w:val="00E07594"/>
    <w:rsid w:val="00E11D5F"/>
    <w:rsid w:val="00E15C5B"/>
    <w:rsid w:val="00E15D94"/>
    <w:rsid w:val="00E16F70"/>
    <w:rsid w:val="00E23F76"/>
    <w:rsid w:val="00E275CE"/>
    <w:rsid w:val="00E40482"/>
    <w:rsid w:val="00E41C96"/>
    <w:rsid w:val="00E42650"/>
    <w:rsid w:val="00E4682B"/>
    <w:rsid w:val="00E47699"/>
    <w:rsid w:val="00E50AF8"/>
    <w:rsid w:val="00E53563"/>
    <w:rsid w:val="00E61127"/>
    <w:rsid w:val="00E628B1"/>
    <w:rsid w:val="00E63748"/>
    <w:rsid w:val="00E71D53"/>
    <w:rsid w:val="00E722BD"/>
    <w:rsid w:val="00E81683"/>
    <w:rsid w:val="00E830F6"/>
    <w:rsid w:val="00E87347"/>
    <w:rsid w:val="00E945B0"/>
    <w:rsid w:val="00E94AFD"/>
    <w:rsid w:val="00E957AE"/>
    <w:rsid w:val="00EA6262"/>
    <w:rsid w:val="00EB00D4"/>
    <w:rsid w:val="00EB1B49"/>
    <w:rsid w:val="00EB3791"/>
    <w:rsid w:val="00EB4480"/>
    <w:rsid w:val="00EB5B7F"/>
    <w:rsid w:val="00EB6465"/>
    <w:rsid w:val="00EC626B"/>
    <w:rsid w:val="00ED089A"/>
    <w:rsid w:val="00ED19D4"/>
    <w:rsid w:val="00ED6677"/>
    <w:rsid w:val="00EE6530"/>
    <w:rsid w:val="00EE6D4C"/>
    <w:rsid w:val="00F00E80"/>
    <w:rsid w:val="00F0713A"/>
    <w:rsid w:val="00F07B70"/>
    <w:rsid w:val="00F11018"/>
    <w:rsid w:val="00F112CB"/>
    <w:rsid w:val="00F15AF4"/>
    <w:rsid w:val="00F16E22"/>
    <w:rsid w:val="00F17C71"/>
    <w:rsid w:val="00F20BE3"/>
    <w:rsid w:val="00F27339"/>
    <w:rsid w:val="00F3123C"/>
    <w:rsid w:val="00F32281"/>
    <w:rsid w:val="00F37D20"/>
    <w:rsid w:val="00F42342"/>
    <w:rsid w:val="00F44A09"/>
    <w:rsid w:val="00F50B12"/>
    <w:rsid w:val="00F52378"/>
    <w:rsid w:val="00F54888"/>
    <w:rsid w:val="00F57262"/>
    <w:rsid w:val="00F61A51"/>
    <w:rsid w:val="00F6237A"/>
    <w:rsid w:val="00F6407D"/>
    <w:rsid w:val="00F64FBB"/>
    <w:rsid w:val="00F67F81"/>
    <w:rsid w:val="00F703AD"/>
    <w:rsid w:val="00F70EA3"/>
    <w:rsid w:val="00F73553"/>
    <w:rsid w:val="00F778B9"/>
    <w:rsid w:val="00F77E65"/>
    <w:rsid w:val="00F80E00"/>
    <w:rsid w:val="00F8226F"/>
    <w:rsid w:val="00F83543"/>
    <w:rsid w:val="00F84C53"/>
    <w:rsid w:val="00F907D1"/>
    <w:rsid w:val="00F926B8"/>
    <w:rsid w:val="00F9426F"/>
    <w:rsid w:val="00F95F55"/>
    <w:rsid w:val="00F968DC"/>
    <w:rsid w:val="00FA136A"/>
    <w:rsid w:val="00FA2E27"/>
    <w:rsid w:val="00FA4128"/>
    <w:rsid w:val="00FA6158"/>
    <w:rsid w:val="00FA63F4"/>
    <w:rsid w:val="00FB15E3"/>
    <w:rsid w:val="00FB79BD"/>
    <w:rsid w:val="00FC4E69"/>
    <w:rsid w:val="00FC68DE"/>
    <w:rsid w:val="00FC754C"/>
    <w:rsid w:val="00FD0304"/>
    <w:rsid w:val="00FD3CE4"/>
    <w:rsid w:val="00FD4557"/>
    <w:rsid w:val="00FD684B"/>
    <w:rsid w:val="00FE369C"/>
    <w:rsid w:val="00FE58F0"/>
    <w:rsid w:val="00FF1BC7"/>
    <w:rsid w:val="00FF4D17"/>
    <w:rsid w:val="00FF7473"/>
    <w:rsid w:val="1BDE58DF"/>
    <w:rsid w:val="1CCB789A"/>
    <w:rsid w:val="2CFC5FC5"/>
    <w:rsid w:val="3D25D500"/>
    <w:rsid w:val="3EEF98DD"/>
    <w:rsid w:val="3F9FD22F"/>
    <w:rsid w:val="470749E1"/>
    <w:rsid w:val="4F7B247E"/>
    <w:rsid w:val="57D94567"/>
    <w:rsid w:val="5CFF1606"/>
    <w:rsid w:val="5DFFCE9C"/>
    <w:rsid w:val="5FB81DCD"/>
    <w:rsid w:val="63BD8BA4"/>
    <w:rsid w:val="6BFEE3C0"/>
    <w:rsid w:val="6BFF0146"/>
    <w:rsid w:val="6ED200D8"/>
    <w:rsid w:val="6EFD90F7"/>
    <w:rsid w:val="72DE18B7"/>
    <w:rsid w:val="7329008F"/>
    <w:rsid w:val="77C6AB6B"/>
    <w:rsid w:val="77FF4F98"/>
    <w:rsid w:val="79FF0142"/>
    <w:rsid w:val="7BFB120F"/>
    <w:rsid w:val="7E5C19CA"/>
    <w:rsid w:val="7F7F1836"/>
    <w:rsid w:val="7FDE9EE2"/>
    <w:rsid w:val="93EEA786"/>
    <w:rsid w:val="9CFB7DEA"/>
    <w:rsid w:val="ADAF1DB9"/>
    <w:rsid w:val="B5FF0B5B"/>
    <w:rsid w:val="B76B45F2"/>
    <w:rsid w:val="D5FE192F"/>
    <w:rsid w:val="DDDB2668"/>
    <w:rsid w:val="DFFB0938"/>
    <w:rsid w:val="EB7DFDD5"/>
    <w:rsid w:val="EC3D1978"/>
    <w:rsid w:val="FEFFD74D"/>
    <w:rsid w:val="FFFF8C4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autoRedefine/>
    <w:qFormat/>
    <w:uiPriority w:val="99"/>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3"/>
    <w:basedOn w:val="1"/>
    <w:next w:val="1"/>
    <w:link w:val="17"/>
    <w:qFormat/>
    <w:uiPriority w:val="99"/>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4">
    <w:name w:val="caption"/>
    <w:basedOn w:val="1"/>
    <w:next w:val="1"/>
    <w:qFormat/>
    <w:uiPriority w:val="99"/>
    <w:pPr>
      <w:suppressLineNumbers/>
      <w:suppressAutoHyphens/>
      <w:spacing w:before="120" w:after="120"/>
    </w:pPr>
    <w:rPr>
      <w:rFonts w:cs="Mangal"/>
      <w:i/>
      <w:iCs/>
      <w:kern w:val="21"/>
      <w:sz w:val="24"/>
      <w:lang w:eastAsia="ar-SA"/>
    </w:rPr>
  </w:style>
  <w:style w:type="paragraph" w:styleId="5">
    <w:name w:val="Body Text"/>
    <w:basedOn w:val="1"/>
    <w:link w:val="27"/>
    <w:qFormat/>
    <w:uiPriority w:val="0"/>
    <w:pPr>
      <w:spacing w:after="120"/>
    </w:pPr>
  </w:style>
  <w:style w:type="paragraph" w:styleId="6">
    <w:name w:val="Date"/>
    <w:basedOn w:val="1"/>
    <w:next w:val="1"/>
    <w:link w:val="26"/>
    <w:semiHidden/>
    <w:unhideWhenUsed/>
    <w:qFormat/>
    <w:uiPriority w:val="99"/>
    <w:pPr>
      <w:ind w:left="100" w:leftChars="2500"/>
    </w:pPr>
  </w:style>
  <w:style w:type="paragraph" w:styleId="7">
    <w:name w:val="Balloon Text"/>
    <w:basedOn w:val="1"/>
    <w:link w:val="23"/>
    <w:semiHidden/>
    <w:unhideWhenUsed/>
    <w:qFormat/>
    <w:uiPriority w:val="99"/>
    <w:rPr>
      <w:sz w:val="18"/>
      <w:szCs w:val="18"/>
    </w:rPr>
  </w:style>
  <w:style w:type="paragraph" w:styleId="8">
    <w:name w:val="footer"/>
    <w:basedOn w:val="1"/>
    <w:link w:val="22"/>
    <w:unhideWhenUsed/>
    <w:qFormat/>
    <w:uiPriority w:val="99"/>
    <w:pPr>
      <w:tabs>
        <w:tab w:val="center" w:pos="4153"/>
        <w:tab w:val="right" w:pos="8306"/>
      </w:tabs>
      <w:snapToGrid w:val="0"/>
      <w:jc w:val="left"/>
    </w:pPr>
    <w:rPr>
      <w:sz w:val="18"/>
      <w:szCs w:val="18"/>
    </w:rPr>
  </w:style>
  <w:style w:type="paragraph" w:styleId="9">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11">
    <w:name w:val="Normal (Web)"/>
    <w:basedOn w:val="1"/>
    <w:semiHidden/>
    <w:unhideWhenUsed/>
    <w:uiPriority w:val="99"/>
    <w:rPr>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qFormat/>
    <w:uiPriority w:val="99"/>
    <w:rPr>
      <w:rFonts w:cs="Times New Roman"/>
      <w:b/>
    </w:rPr>
  </w:style>
  <w:style w:type="character" w:customStyle="1" w:styleId="16">
    <w:name w:val="标题 1 Char"/>
    <w:link w:val="2"/>
    <w:autoRedefine/>
    <w:qFormat/>
    <w:locked/>
    <w:uiPriority w:val="99"/>
    <w:rPr>
      <w:rFonts w:cs="Times New Roman"/>
      <w:b/>
      <w:kern w:val="1"/>
      <w:sz w:val="44"/>
      <w:lang w:eastAsia="ar-SA" w:bidi="ar-SA"/>
    </w:rPr>
  </w:style>
  <w:style w:type="character" w:customStyle="1" w:styleId="17">
    <w:name w:val="标题 3 Char"/>
    <w:link w:val="3"/>
    <w:autoRedefine/>
    <w:qFormat/>
    <w:locked/>
    <w:uiPriority w:val="99"/>
    <w:rPr>
      <w:rFonts w:cs="Times New Roman"/>
      <w:b/>
      <w:kern w:val="21"/>
      <w:sz w:val="32"/>
      <w:lang w:eastAsia="ar-SA" w:bidi="ar-SA"/>
    </w:rPr>
  </w:style>
  <w:style w:type="paragraph" w:styleId="18">
    <w:name w:val="List Paragraph"/>
    <w:basedOn w:val="1"/>
    <w:autoRedefine/>
    <w:qFormat/>
    <w:uiPriority w:val="99"/>
    <w:pPr>
      <w:suppressAutoHyphens/>
      <w:ind w:firstLine="420" w:firstLineChars="200"/>
    </w:pPr>
    <w:rPr>
      <w:kern w:val="21"/>
      <w:lang w:eastAsia="ar-SA"/>
    </w:rPr>
  </w:style>
  <w:style w:type="paragraph" w:customStyle="1" w:styleId="19">
    <w:name w:val="段"/>
    <w:link w:val="20"/>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0">
    <w:name w:val="段 Char"/>
    <w:link w:val="19"/>
    <w:autoRedefine/>
    <w:qFormat/>
    <w:locked/>
    <w:uiPriority w:val="0"/>
    <w:rPr>
      <w:rFonts w:ascii="宋体" w:cs="Times New Roman"/>
      <w:sz w:val="21"/>
      <w:lang w:val="en-US" w:eastAsia="zh-CN" w:bidi="ar-SA"/>
    </w:rPr>
  </w:style>
  <w:style w:type="character" w:customStyle="1" w:styleId="21">
    <w:name w:val="页眉 Char"/>
    <w:link w:val="9"/>
    <w:autoRedefine/>
    <w:qFormat/>
    <w:uiPriority w:val="99"/>
    <w:rPr>
      <w:sz w:val="18"/>
      <w:szCs w:val="18"/>
    </w:rPr>
  </w:style>
  <w:style w:type="character" w:customStyle="1" w:styleId="22">
    <w:name w:val="页脚 Char"/>
    <w:link w:val="8"/>
    <w:autoRedefine/>
    <w:qFormat/>
    <w:uiPriority w:val="99"/>
    <w:rPr>
      <w:sz w:val="18"/>
      <w:szCs w:val="18"/>
    </w:rPr>
  </w:style>
  <w:style w:type="character" w:customStyle="1" w:styleId="23">
    <w:name w:val="批注框文本 Char"/>
    <w:link w:val="7"/>
    <w:autoRedefine/>
    <w:semiHidden/>
    <w:qFormat/>
    <w:uiPriority w:val="99"/>
    <w:rPr>
      <w:kern w:val="2"/>
      <w:sz w:val="18"/>
      <w:szCs w:val="18"/>
    </w:rPr>
  </w:style>
  <w:style w:type="table" w:customStyle="1" w:styleId="24">
    <w:name w:val="浅色底纹1"/>
    <w:basedOn w:val="12"/>
    <w:autoRedefine/>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25">
    <w:name w:val="浅色底纹2"/>
    <w:basedOn w:val="12"/>
    <w:autoRedefine/>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character" w:customStyle="1" w:styleId="26">
    <w:name w:val="日期 Char"/>
    <w:basedOn w:val="14"/>
    <w:link w:val="6"/>
    <w:autoRedefine/>
    <w:semiHidden/>
    <w:qFormat/>
    <w:uiPriority w:val="99"/>
    <w:rPr>
      <w:kern w:val="2"/>
      <w:sz w:val="21"/>
      <w:szCs w:val="24"/>
    </w:rPr>
  </w:style>
  <w:style w:type="character" w:customStyle="1" w:styleId="27">
    <w:name w:val="正文文本 Char"/>
    <w:basedOn w:val="14"/>
    <w:link w:val="5"/>
    <w:autoRedefine/>
    <w:qFormat/>
    <w:uiPriority w:val="0"/>
    <w:rPr>
      <w:kern w:val="2"/>
      <w:sz w:val="21"/>
      <w:szCs w:val="24"/>
    </w:rPr>
  </w:style>
  <w:style w:type="paragraph" w:customStyle="1" w:styleId="28">
    <w:name w:val="标准文件_段"/>
    <w:link w:val="29"/>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9">
    <w:name w:val="标准文件_段 Char"/>
    <w:link w:val="28"/>
    <w:autoRedefine/>
    <w:qFormat/>
    <w:uiPriority w:val="0"/>
    <w:rPr>
      <w:rFonts w:ascii="宋体"/>
      <w:sz w:val="21"/>
    </w:rPr>
  </w:style>
  <w:style w:type="paragraph" w:customStyle="1" w:styleId="30">
    <w:name w:val="一级条标题"/>
    <w:next w:val="19"/>
    <w:autoRedefine/>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31">
    <w:name w:val="二级条标题"/>
    <w:basedOn w:val="30"/>
    <w:next w:val="19"/>
    <w:autoRedefine/>
    <w:qFormat/>
    <w:uiPriority w:val="0"/>
    <w:pPr>
      <w:numPr>
        <w:ilvl w:val="2"/>
      </w:numPr>
      <w:spacing w:before="50" w:after="50"/>
      <w:outlineLvl w:val="3"/>
    </w:pPr>
  </w:style>
  <w:style w:type="paragraph" w:customStyle="1" w:styleId="32">
    <w:name w:val="附录表标题"/>
    <w:basedOn w:val="1"/>
    <w:next w:val="19"/>
    <w:autoRedefine/>
    <w:qFormat/>
    <w:uiPriority w:val="0"/>
    <w:pPr>
      <w:numPr>
        <w:ilvl w:val="1"/>
        <w:numId w:val="2"/>
      </w:numPr>
      <w:tabs>
        <w:tab w:val="left" w:pos="180"/>
      </w:tabs>
      <w:spacing w:before="50" w:beforeLines="50" w:after="50" w:afterLines="50"/>
      <w:ind w:left="0" w:firstLine="0"/>
      <w:jc w:val="center"/>
    </w:pPr>
    <w:rPr>
      <w:rFonts w:ascii="黑体" w:eastAsia="黑体"/>
      <w:szCs w:val="21"/>
    </w:rPr>
  </w:style>
  <w:style w:type="paragraph" w:customStyle="1" w:styleId="33">
    <w:name w:val="正文首行缩进 21"/>
    <w:basedOn w:val="1"/>
    <w:next w:val="11"/>
    <w:qFormat/>
    <w:uiPriority w:val="0"/>
    <w:pPr>
      <w:ind w:left="200" w:leftChars="200"/>
    </w:pPr>
    <w:rPr>
      <w:rFonts w:ascii="Calibri" w:hAnsi="Calibri" w:eastAsia="仿宋_GB231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10</Pages>
  <Words>6150</Words>
  <Characters>6647</Characters>
  <Lines>49</Lines>
  <Paragraphs>13</Paragraphs>
  <TotalTime>408</TotalTime>
  <ScaleCrop>false</ScaleCrop>
  <LinksUpToDate>false</LinksUpToDate>
  <CharactersWithSpaces>6765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2016-02-24T23:17:00Z</dcterms:created>
  <dc:creator>lenovo</dc:creator>
  <cp:lastModifiedBy>娜儿</cp:lastModifiedBy>
  <cp:lastPrinted>2024-01-18T01:28:00Z</cp:lastPrinted>
  <dcterms:modified xsi:type="dcterms:W3CDTF">2024-10-29T01:22:40Z</dcterms:modified>
  <cp:revision>847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7FABDFE944F44C8ABFC81F62D3CA66F9_13</vt:lpwstr>
  </property>
</Properties>
</file>